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B2" w:rsidRPr="004E2651" w:rsidRDefault="004E2651" w:rsidP="0071301A">
      <w:pPr>
        <w:jc w:val="center"/>
        <w:rPr>
          <w:rFonts w:ascii="Arial" w:hAnsi="Arial" w:cs="Arial"/>
          <w:b/>
          <w:sz w:val="20"/>
          <w:szCs w:val="20"/>
        </w:rPr>
      </w:pPr>
      <w:r w:rsidRPr="0071301A">
        <w:rPr>
          <w:rFonts w:ascii="Arial" w:hAnsi="Arial" w:cs="Arial"/>
          <w:b/>
          <w:sz w:val="20"/>
          <w:szCs w:val="20"/>
          <w:highlight w:val="lightGray"/>
          <w:bdr w:val="single" w:sz="4" w:space="0" w:color="auto"/>
        </w:rPr>
        <w:t>Pediatric</w:t>
      </w:r>
      <w:r w:rsidR="00F663D0" w:rsidRPr="0071301A">
        <w:rPr>
          <w:rFonts w:ascii="Arial" w:hAnsi="Arial" w:cs="Arial"/>
          <w:b/>
          <w:sz w:val="20"/>
          <w:szCs w:val="20"/>
          <w:highlight w:val="lightGray"/>
          <w:bdr w:val="single" w:sz="4" w:space="0" w:color="auto"/>
        </w:rPr>
        <w:t xml:space="preserve"> Case Discussion</w:t>
      </w:r>
      <w:r w:rsidR="00B6393F" w:rsidRPr="0071301A">
        <w:rPr>
          <w:rFonts w:ascii="Arial" w:hAnsi="Arial" w:cs="Arial"/>
          <w:b/>
          <w:sz w:val="20"/>
          <w:szCs w:val="20"/>
          <w:highlight w:val="lightGray"/>
          <w:bdr w:val="single" w:sz="4" w:space="0" w:color="auto"/>
        </w:rPr>
        <w:t xml:space="preserve"> Tip Sheet</w:t>
      </w:r>
      <w:r w:rsidR="00F663D0" w:rsidRPr="0071301A">
        <w:rPr>
          <w:rFonts w:ascii="Arial" w:hAnsi="Arial" w:cs="Arial"/>
          <w:b/>
          <w:sz w:val="20"/>
          <w:szCs w:val="20"/>
          <w:highlight w:val="lightGray"/>
          <w:bdr w:val="single" w:sz="4" w:space="0" w:color="auto"/>
        </w:rPr>
        <w:t xml:space="preserve"> </w:t>
      </w:r>
      <w:r w:rsidR="00B6393F" w:rsidRPr="0071301A">
        <w:rPr>
          <w:rFonts w:ascii="Arial" w:hAnsi="Arial" w:cs="Arial"/>
          <w:b/>
          <w:sz w:val="20"/>
          <w:szCs w:val="20"/>
          <w:highlight w:val="lightGray"/>
          <w:bdr w:val="single" w:sz="4" w:space="0" w:color="auto"/>
        </w:rPr>
        <w:t>/</w:t>
      </w:r>
      <w:r w:rsidR="00F663D0" w:rsidRPr="0071301A">
        <w:rPr>
          <w:rFonts w:ascii="Arial" w:hAnsi="Arial" w:cs="Arial"/>
          <w:b/>
          <w:sz w:val="20"/>
          <w:szCs w:val="20"/>
          <w:highlight w:val="lightGray"/>
          <w:bdr w:val="single" w:sz="4" w:space="0" w:color="auto"/>
        </w:rPr>
        <w:t>Handout</w:t>
      </w:r>
      <w:r w:rsidR="00F663D0" w:rsidRPr="004E2651">
        <w:rPr>
          <w:rFonts w:ascii="Arial" w:hAnsi="Arial" w:cs="Arial"/>
          <w:b/>
          <w:sz w:val="20"/>
          <w:szCs w:val="20"/>
        </w:rPr>
        <w:t xml:space="preserve"> </w:t>
      </w:r>
    </w:p>
    <w:p w:rsidR="004E2651" w:rsidRPr="004E2651" w:rsidRDefault="004E2651" w:rsidP="0071301A">
      <w:pPr>
        <w:jc w:val="center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>Sarah Kohl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>,</w:t>
      </w:r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University of Pittsburgh, US, </w:t>
      </w:r>
    </w:p>
    <w:p w:rsidR="004E2651" w:rsidRPr="004E2651" w:rsidRDefault="004E2651" w:rsidP="0071301A">
      <w:pPr>
        <w:jc w:val="center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Shirley </w:t>
      </w:r>
      <w:proofErr w:type="spellStart"/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>Molitor</w:t>
      </w:r>
      <w:proofErr w:type="spellEnd"/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>-Kirsch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, </w:t>
      </w:r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Children´s Mercy, Kansas City, US </w:t>
      </w:r>
    </w:p>
    <w:p w:rsidR="004E2651" w:rsidRPr="004E2651" w:rsidRDefault="004E2651" w:rsidP="0071301A">
      <w:pPr>
        <w:jc w:val="center"/>
        <w:rPr>
          <w:rFonts w:ascii="Arial" w:hAnsi="Arial" w:cs="Arial"/>
          <w:sz w:val="18"/>
          <w:szCs w:val="18"/>
        </w:rPr>
      </w:pPr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Lynda </w:t>
      </w:r>
      <w:proofErr w:type="spellStart"/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>Bramham</w:t>
      </w:r>
      <w:proofErr w:type="spellEnd"/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, </w:t>
      </w:r>
      <w:proofErr w:type="spellStart"/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>NaTHNaC</w:t>
      </w:r>
      <w:proofErr w:type="spellEnd"/>
      <w:r w:rsidRPr="004E2651">
        <w:rPr>
          <w:rStyle w:val="Strong"/>
          <w:rFonts w:ascii="Arial" w:hAnsi="Arial" w:cs="Arial"/>
          <w:b w:val="0"/>
          <w:color w:val="000000"/>
          <w:sz w:val="18"/>
          <w:szCs w:val="18"/>
        </w:rPr>
        <w:t>, UK</w:t>
      </w:r>
    </w:p>
    <w:p w:rsidR="001D5EBD" w:rsidRPr="006E0762" w:rsidRDefault="001D5EBD">
      <w:pPr>
        <w:rPr>
          <w:rFonts w:ascii="Arial" w:hAnsi="Arial" w:cs="Arial"/>
          <w:b/>
          <w:sz w:val="28"/>
          <w:szCs w:val="28"/>
        </w:rPr>
      </w:pPr>
      <w:r w:rsidRP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Vaccines</w:t>
      </w:r>
    </w:p>
    <w:p w:rsidR="008A1CB2" w:rsidRPr="00041FDB" w:rsidRDefault="002B055B">
      <w:pPr>
        <w:rPr>
          <w:rFonts w:ascii="Arial" w:hAnsi="Arial" w:cs="Arial"/>
          <w:b/>
          <w:color w:val="ED7D31" w:themeColor="accent2"/>
          <w:sz w:val="20"/>
          <w:szCs w:val="20"/>
        </w:rPr>
      </w:pPr>
      <w:r w:rsidRPr="00041FDB">
        <w:rPr>
          <w:rFonts w:ascii="Arial" w:hAnsi="Arial" w:cs="Arial"/>
          <w:b/>
          <w:color w:val="ED7D31" w:themeColor="accent2"/>
          <w:sz w:val="20"/>
          <w:szCs w:val="20"/>
        </w:rPr>
        <w:t xml:space="preserve">Routine vaccine schedules 0-18 </w:t>
      </w:r>
    </w:p>
    <w:p w:rsidR="001D5EBD" w:rsidRPr="00041FDB" w:rsidRDefault="001D5EBD">
      <w:pPr>
        <w:rPr>
          <w:rFonts w:ascii="Arial" w:hAnsi="Arial" w:cs="Arial"/>
          <w:b/>
          <w:sz w:val="20"/>
          <w:szCs w:val="20"/>
        </w:rPr>
      </w:pPr>
      <w:r w:rsidRPr="00041FDB">
        <w:rPr>
          <w:rFonts w:ascii="Arial" w:hAnsi="Arial" w:cs="Arial"/>
          <w:b/>
          <w:sz w:val="20"/>
          <w:szCs w:val="20"/>
        </w:rPr>
        <w:t xml:space="preserve">WHO </w:t>
      </w:r>
      <w:r w:rsidRPr="00041FDB">
        <w:rPr>
          <w:rFonts w:ascii="Arial" w:hAnsi="Arial" w:cs="Arial"/>
          <w:sz w:val="20"/>
          <w:szCs w:val="20"/>
        </w:rPr>
        <w:t>vaccine schedules worldwide:</w:t>
      </w:r>
      <w:r w:rsidRPr="00041FDB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041FDB">
          <w:rPr>
            <w:rStyle w:val="Hyperlink"/>
            <w:rFonts w:ascii="Arial" w:hAnsi="Arial" w:cs="Arial"/>
            <w:b/>
            <w:sz w:val="20"/>
            <w:szCs w:val="20"/>
          </w:rPr>
          <w:t>http://apps.who.int/immunization_monitoring/globalsummary/schedules</w:t>
        </w:r>
      </w:hyperlink>
      <w:r w:rsidRPr="00041FDB">
        <w:rPr>
          <w:rFonts w:ascii="Arial" w:hAnsi="Arial" w:cs="Arial"/>
          <w:b/>
          <w:sz w:val="20"/>
          <w:szCs w:val="20"/>
        </w:rPr>
        <w:t xml:space="preserve"> </w:t>
      </w:r>
    </w:p>
    <w:p w:rsidR="001D5EBD" w:rsidRPr="00041FDB" w:rsidRDefault="001D5EBD">
      <w:pPr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b/>
          <w:sz w:val="20"/>
          <w:szCs w:val="20"/>
        </w:rPr>
        <w:t xml:space="preserve">ECDC </w:t>
      </w:r>
      <w:r w:rsidRPr="00041FDB">
        <w:rPr>
          <w:rFonts w:ascii="Arial" w:hAnsi="Arial" w:cs="Arial"/>
          <w:sz w:val="20"/>
          <w:szCs w:val="20"/>
        </w:rPr>
        <w:t xml:space="preserve">compare the </w:t>
      </w:r>
      <w:proofErr w:type="spellStart"/>
      <w:r w:rsidRPr="00041FDB">
        <w:rPr>
          <w:rFonts w:ascii="Arial" w:hAnsi="Arial" w:cs="Arial"/>
          <w:sz w:val="20"/>
          <w:szCs w:val="20"/>
        </w:rPr>
        <w:t>immunisation</w:t>
      </w:r>
      <w:proofErr w:type="spellEnd"/>
      <w:r w:rsidRPr="00041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FDB">
        <w:rPr>
          <w:rFonts w:ascii="Arial" w:hAnsi="Arial" w:cs="Arial"/>
          <w:sz w:val="20"/>
          <w:szCs w:val="20"/>
        </w:rPr>
        <w:t>programmes</w:t>
      </w:r>
      <w:proofErr w:type="spellEnd"/>
      <w:r w:rsidRPr="00041FDB">
        <w:rPr>
          <w:rFonts w:ascii="Arial" w:hAnsi="Arial" w:cs="Arial"/>
          <w:sz w:val="20"/>
          <w:szCs w:val="20"/>
        </w:rPr>
        <w:t xml:space="preserve"> in different European countries </w:t>
      </w:r>
      <w:hyperlink r:id="rId10" w:tgtFrame="_blank" w:history="1">
        <w:r w:rsidRPr="00041FDB">
          <w:rPr>
            <w:rStyle w:val="Hyperlink"/>
            <w:rFonts w:ascii="Arial" w:hAnsi="Arial" w:cs="Arial"/>
            <w:sz w:val="20"/>
            <w:szCs w:val="20"/>
          </w:rPr>
          <w:t>https://vaccine-schedule.ecdc.europa.eu/</w:t>
        </w:r>
      </w:hyperlink>
      <w:r w:rsidRPr="00041FDB">
        <w:rPr>
          <w:rFonts w:ascii="Arial" w:hAnsi="Arial" w:cs="Arial"/>
          <w:sz w:val="20"/>
          <w:szCs w:val="20"/>
        </w:rPr>
        <w:t> </w:t>
      </w:r>
    </w:p>
    <w:p w:rsidR="001D5EBD" w:rsidRPr="00041FDB" w:rsidRDefault="001D5EBD">
      <w:pPr>
        <w:rPr>
          <w:rFonts w:ascii="Arial" w:hAnsi="Arial" w:cs="Arial"/>
          <w:color w:val="ED7D31" w:themeColor="accent2"/>
          <w:sz w:val="20"/>
          <w:szCs w:val="20"/>
        </w:rPr>
      </w:pPr>
      <w:r w:rsidRPr="00041FDB">
        <w:rPr>
          <w:rFonts w:ascii="Arial" w:hAnsi="Arial" w:cs="Arial"/>
          <w:b/>
          <w:color w:val="ED7D31" w:themeColor="accent2"/>
          <w:sz w:val="20"/>
          <w:szCs w:val="20"/>
        </w:rPr>
        <w:t>D</w:t>
      </w:r>
      <w:r w:rsidR="00492FD3" w:rsidRPr="00041FDB">
        <w:rPr>
          <w:rFonts w:ascii="Arial" w:hAnsi="Arial" w:cs="Arial"/>
          <w:b/>
          <w:color w:val="ED7D31" w:themeColor="accent2"/>
          <w:sz w:val="20"/>
          <w:szCs w:val="20"/>
        </w:rPr>
        <w:t>i</w:t>
      </w:r>
      <w:r w:rsidRPr="00041FDB">
        <w:rPr>
          <w:rFonts w:ascii="Arial" w:hAnsi="Arial" w:cs="Arial"/>
          <w:b/>
          <w:color w:val="ED7D31" w:themeColor="accent2"/>
          <w:sz w:val="20"/>
          <w:szCs w:val="20"/>
        </w:rPr>
        <w:t>sease specific rec</w:t>
      </w:r>
      <w:r w:rsidR="00492FD3" w:rsidRPr="00041FDB">
        <w:rPr>
          <w:rFonts w:ascii="Arial" w:hAnsi="Arial" w:cs="Arial"/>
          <w:b/>
          <w:color w:val="ED7D31" w:themeColor="accent2"/>
          <w:sz w:val="20"/>
          <w:szCs w:val="20"/>
        </w:rPr>
        <w:t>ommendations</w:t>
      </w:r>
    </w:p>
    <w:p w:rsidR="00FA6B5E" w:rsidRDefault="00FA6B5E" w:rsidP="00A606AE">
      <w:pPr>
        <w:spacing w:after="0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</w:rPr>
        <w:t>Cholera</w:t>
      </w:r>
    </w:p>
    <w:p w:rsidR="00FA6B5E" w:rsidRDefault="00FA6B5E" w:rsidP="00A606AE">
      <w:pPr>
        <w:spacing w:after="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FA6B5E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WHO Position paper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2017</w:t>
      </w:r>
    </w:p>
    <w:p w:rsidR="00FA6B5E" w:rsidRPr="00FA6B5E" w:rsidRDefault="007466C9" w:rsidP="00FA6B5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“</w:t>
      </w:r>
      <w:r w:rsidR="00FA6B5E" w:rsidRPr="00FA6B5E">
        <w:rPr>
          <w:rFonts w:ascii="Arial" w:eastAsia="Times New Roman" w:hAnsi="Arial" w:cs="Arial"/>
          <w:i/>
          <w:sz w:val="20"/>
          <w:szCs w:val="20"/>
          <w:lang w:val="en-GB" w:eastAsia="en-GB"/>
        </w:rPr>
        <w:t>In travellers from non-endemic countries, cholera is a very rare disease, with a risk of 0.01 – 0.001% per month of stay in a developing country.</w:t>
      </w:r>
      <w:r w:rsidR="00FA6B5E" w:rsidRPr="00FA6B5E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en-GB"/>
        </w:rPr>
        <w:t>14</w:t>
      </w:r>
      <w:r w:rsidRPr="007466C9">
        <w:rPr>
          <w:rFonts w:ascii="Arial" w:eastAsia="Times New Roman" w:hAnsi="Arial" w:cs="Arial"/>
          <w:i/>
          <w:sz w:val="20"/>
          <w:szCs w:val="20"/>
          <w:lang w:val="en-GB" w:eastAsia="en-GB"/>
        </w:rPr>
        <w:t>”</w:t>
      </w:r>
    </w:p>
    <w:p w:rsidR="00FA6B5E" w:rsidRDefault="00FA6B5E" w:rsidP="00A606AE">
      <w:pPr>
        <w:spacing w:after="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7466C9" w:rsidRDefault="007466C9" w:rsidP="00A606AE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971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Vaccine may be considered in </w:t>
      </w:r>
      <w:r w:rsidR="00D97112" w:rsidRPr="00D971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situations of increased risk, check national guidelines.</w:t>
      </w:r>
    </w:p>
    <w:p w:rsidR="007C52C9" w:rsidRDefault="007C52C9" w:rsidP="00A606AE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D97112" w:rsidRPr="00D97112" w:rsidRDefault="00D97112" w:rsidP="00A606AE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Inactivated oral vaccine </w:t>
      </w:r>
      <w:r>
        <w:t>is not licensed for use in infants &lt;2 years.</w:t>
      </w:r>
    </w:p>
    <w:p w:rsidR="007C52C9" w:rsidRDefault="007C52C9" w:rsidP="00A606AE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FA6B5E" w:rsidRPr="007C52C9" w:rsidRDefault="0071301A" w:rsidP="00A606AE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C52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Live </w:t>
      </w:r>
      <w:r w:rsidR="007C52C9" w:rsidRPr="007C52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oral </w:t>
      </w:r>
      <w:r w:rsidRPr="007C52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vaccine </w:t>
      </w:r>
      <w:proofErr w:type="spellStart"/>
      <w:r w:rsidRPr="007C52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Vaxchora</w:t>
      </w:r>
      <w:proofErr w:type="spellEnd"/>
      <w:r w:rsidRPr="007C52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available in some countries, in USA for adults 18-64 only </w:t>
      </w:r>
      <w:hyperlink r:id="rId11" w:history="1">
        <w:r w:rsidR="007C52C9" w:rsidRPr="009A6B7D">
          <w:rPr>
            <w:rStyle w:val="Hyperlink"/>
            <w:rFonts w:ascii="Arial" w:hAnsi="Arial" w:cs="Arial"/>
            <w:sz w:val="20"/>
            <w:szCs w:val="20"/>
          </w:rPr>
          <w:t>https://www.fda.gov/downloads/BiologicsBloodVaccines/Vaccines/ApprovedProducts/UCM506235.pdf</w:t>
        </w:r>
      </w:hyperlink>
      <w:r w:rsidR="007C52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7C52C9" w:rsidRDefault="007C52C9" w:rsidP="00A606AE">
      <w:pPr>
        <w:spacing w:after="0"/>
        <w:rPr>
          <w:rStyle w:val="Hyperlink"/>
          <w:rFonts w:ascii="Arial" w:hAnsi="Arial" w:cs="Arial"/>
          <w:b/>
          <w:color w:val="auto"/>
          <w:sz w:val="20"/>
          <w:szCs w:val="20"/>
        </w:rPr>
      </w:pPr>
    </w:p>
    <w:p w:rsidR="00A606AE" w:rsidRPr="00A36710" w:rsidRDefault="00A606AE" w:rsidP="00A606AE">
      <w:pPr>
        <w:spacing w:after="0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A36710">
        <w:rPr>
          <w:rStyle w:val="Hyperlink"/>
          <w:rFonts w:ascii="Arial" w:hAnsi="Arial" w:cs="Arial"/>
          <w:b/>
          <w:color w:val="auto"/>
          <w:sz w:val="20"/>
          <w:szCs w:val="20"/>
        </w:rPr>
        <w:t>Hep</w:t>
      </w:r>
      <w:r w:rsidR="00492FD3" w:rsidRPr="00A36710">
        <w:rPr>
          <w:rStyle w:val="Hyperlink"/>
          <w:rFonts w:ascii="Arial" w:hAnsi="Arial" w:cs="Arial"/>
          <w:b/>
          <w:color w:val="auto"/>
          <w:sz w:val="20"/>
          <w:szCs w:val="20"/>
        </w:rPr>
        <w:t>atitis</w:t>
      </w:r>
      <w:r w:rsidRPr="00A36710"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 A</w:t>
      </w:r>
    </w:p>
    <w:p w:rsidR="006E0762" w:rsidRDefault="00A36710" w:rsidP="00A36710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77227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WHO Position paper 2012</w:t>
      </w:r>
      <w:r>
        <w:t>:</w:t>
      </w:r>
      <w:r w:rsidRPr="00A36710">
        <w:t xml:space="preserve"> </w:t>
      </w:r>
      <w:hyperlink r:id="rId12" w:history="1">
        <w:r w:rsidRPr="00C20738">
          <w:rPr>
            <w:rStyle w:val="Hyperlink"/>
            <w:rFonts w:ascii="Arial" w:hAnsi="Arial" w:cs="Arial"/>
            <w:sz w:val="20"/>
            <w:szCs w:val="20"/>
          </w:rPr>
          <w:t>http://www.who.int/wer/2012/wer8728_29.pdf?ua=1</w:t>
        </w:r>
      </w:hyperlink>
      <w:r w:rsidRPr="00C207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</w:t>
      </w:r>
    </w:p>
    <w:p w:rsidR="00A36710" w:rsidRPr="00041FDB" w:rsidRDefault="00A36710" w:rsidP="00A36710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E07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“</w:t>
      </w:r>
      <w:proofErr w:type="gramStart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while</w:t>
      </w:r>
      <w:proofErr w:type="gramEnd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young children usually have asymptomatic infection, older children and adults commonly experience symptomatic disease”</w:t>
      </w:r>
      <w:r w:rsidRPr="00041FD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</w:p>
    <w:p w:rsidR="00A36710" w:rsidRPr="00041FDB" w:rsidRDefault="00A36710" w:rsidP="00A3671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“The estimated case-fatality ratio of hepatitis A varies with age and ranges from 0.1% among </w:t>
      </w:r>
    </w:p>
    <w:p w:rsidR="00A36710" w:rsidRPr="00041FDB" w:rsidRDefault="00A36710" w:rsidP="00A3671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children &lt;15 years of age to 0.3% among persons 15–39 years of age, and 2.1% among adults aged ≥40 years.</w:t>
      </w:r>
      <w:r w:rsidRPr="006E0762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en-GB"/>
        </w:rPr>
        <w:t>16</w:t>
      </w:r>
    </w:p>
    <w:p w:rsidR="00A36710" w:rsidRPr="00041FDB" w:rsidRDefault="00A36710" w:rsidP="00A3671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A36710" w:rsidRPr="00041FDB" w:rsidRDefault="00A36710" w:rsidP="00A3671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Fulminant hepatitis is rare, but associated with high mortality. In Argentina, 0.4% of paediatric </w:t>
      </w:r>
    </w:p>
    <w:p w:rsidR="00A36710" w:rsidRPr="00041FDB" w:rsidRDefault="00A36710" w:rsidP="00A3671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proofErr w:type="gramStart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cases</w:t>
      </w:r>
      <w:proofErr w:type="gramEnd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developed fulminant hepatitis, of which 60% were fatal.19  Recent reports from South America and the Republic of Korea have raised concern that the incidence of fulminant hepatitis A may be rising, in particular in children.</w:t>
      </w:r>
      <w:r w:rsidRPr="006E0762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en-GB"/>
        </w:rPr>
        <w:t>5, 6, 7</w:t>
      </w:r>
      <w:r w:rsidR="006E0762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en-GB"/>
        </w:rPr>
        <w:t xml:space="preserve"> </w:t>
      </w: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Immunosuppressed patients and patients with chronic liver disease are at increased risk of developing severe or fulminant hepatitis.</w:t>
      </w:r>
      <w:r w:rsidR="00C20738">
        <w:rPr>
          <w:rFonts w:ascii="Arial" w:eastAsia="Times New Roman" w:hAnsi="Arial" w:cs="Arial"/>
          <w:i/>
          <w:sz w:val="20"/>
          <w:szCs w:val="20"/>
          <w:lang w:val="en-GB" w:eastAsia="en-GB"/>
        </w:rPr>
        <w:t>”</w:t>
      </w:r>
    </w:p>
    <w:p w:rsidR="00A36710" w:rsidRDefault="00A36710" w:rsidP="00A36710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C20738" w:rsidRPr="007C482D" w:rsidRDefault="00C20738" w:rsidP="00C20738">
      <w:pPr>
        <w:rPr>
          <w:rFonts w:ascii="Arial" w:hAnsi="Arial" w:cs="Arial"/>
          <w:sz w:val="20"/>
          <w:szCs w:val="20"/>
        </w:rPr>
      </w:pPr>
      <w:r w:rsidRPr="007C482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Most countries are using </w:t>
      </w:r>
      <w:r w:rsidR="007C482D">
        <w:rPr>
          <w:rFonts w:ascii="Arial" w:hAnsi="Arial" w:cs="Arial"/>
          <w:sz w:val="20"/>
          <w:szCs w:val="20"/>
        </w:rPr>
        <w:t>i</w:t>
      </w:r>
      <w:r w:rsidRPr="007C482D">
        <w:rPr>
          <w:rFonts w:ascii="Arial" w:hAnsi="Arial" w:cs="Arial"/>
          <w:sz w:val="20"/>
          <w:szCs w:val="20"/>
        </w:rPr>
        <w:t xml:space="preserve">nactivated hepatitis A vaccines </w:t>
      </w:r>
      <w:r w:rsidR="007C482D">
        <w:rPr>
          <w:rFonts w:ascii="Arial" w:hAnsi="Arial" w:cs="Arial"/>
          <w:sz w:val="20"/>
          <w:szCs w:val="20"/>
        </w:rPr>
        <w:t xml:space="preserve">which </w:t>
      </w:r>
      <w:r w:rsidRPr="007C482D">
        <w:rPr>
          <w:rFonts w:ascii="Arial" w:hAnsi="Arial" w:cs="Arial"/>
          <w:sz w:val="20"/>
          <w:szCs w:val="20"/>
        </w:rPr>
        <w:t xml:space="preserve">are licensed for use in </w:t>
      </w:r>
      <w:r w:rsidR="00697C52">
        <w:rPr>
          <w:rFonts w:ascii="Arial" w:hAnsi="Arial" w:cs="Arial"/>
          <w:sz w:val="20"/>
          <w:szCs w:val="20"/>
        </w:rPr>
        <w:t>children</w:t>
      </w:r>
      <w:r w:rsidRPr="007C482D">
        <w:rPr>
          <w:rFonts w:ascii="Arial" w:hAnsi="Arial" w:cs="Arial"/>
          <w:sz w:val="20"/>
          <w:szCs w:val="20"/>
        </w:rPr>
        <w:t xml:space="preserve"> ≥</w:t>
      </w:r>
      <w:r w:rsidR="00697C52">
        <w:rPr>
          <w:rFonts w:ascii="Arial" w:hAnsi="Arial" w:cs="Arial"/>
          <w:sz w:val="20"/>
          <w:szCs w:val="20"/>
        </w:rPr>
        <w:t>1yr</w:t>
      </w:r>
      <w:r w:rsidRPr="007C482D">
        <w:rPr>
          <w:rFonts w:ascii="Arial" w:hAnsi="Arial" w:cs="Arial"/>
          <w:sz w:val="20"/>
          <w:szCs w:val="20"/>
        </w:rPr>
        <w:t xml:space="preserve"> of age</w:t>
      </w:r>
      <w:r w:rsidR="007C482D">
        <w:rPr>
          <w:rFonts w:ascii="Arial" w:hAnsi="Arial" w:cs="Arial"/>
          <w:sz w:val="20"/>
          <w:szCs w:val="20"/>
        </w:rPr>
        <w:t xml:space="preserve"> (check local recommendations)</w:t>
      </w:r>
      <w:r w:rsidRPr="007C482D">
        <w:rPr>
          <w:rFonts w:ascii="Arial" w:hAnsi="Arial" w:cs="Arial"/>
          <w:sz w:val="20"/>
          <w:szCs w:val="20"/>
        </w:rPr>
        <w:t xml:space="preserve">. </w:t>
      </w:r>
      <w:r w:rsidR="007C482D">
        <w:rPr>
          <w:rFonts w:ascii="Arial" w:hAnsi="Arial" w:cs="Arial"/>
          <w:sz w:val="20"/>
          <w:szCs w:val="20"/>
        </w:rPr>
        <w:t xml:space="preserve">WHO also highlight </w:t>
      </w:r>
    </w:p>
    <w:p w:rsidR="00C20738" w:rsidRPr="00C20738" w:rsidRDefault="00C20738" w:rsidP="00C207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C20738">
        <w:rPr>
          <w:rFonts w:ascii="Arial" w:eastAsia="Times New Roman" w:hAnsi="Arial" w:cs="Arial"/>
          <w:i/>
          <w:sz w:val="20"/>
          <w:szCs w:val="20"/>
          <w:lang w:val="en-GB" w:eastAsia="en-GB"/>
        </w:rPr>
        <w:t>“</w:t>
      </w:r>
      <w:proofErr w:type="gramStart"/>
      <w:r w:rsidRPr="00C20738">
        <w:rPr>
          <w:rFonts w:ascii="Arial" w:eastAsia="Times New Roman" w:hAnsi="Arial" w:cs="Arial"/>
          <w:i/>
          <w:sz w:val="20"/>
          <w:szCs w:val="20"/>
          <w:lang w:val="en-GB" w:eastAsia="en-GB"/>
        </w:rPr>
        <w:t>live</w:t>
      </w:r>
      <w:proofErr w:type="gramEnd"/>
      <w:r w:rsidRPr="00C20738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attenuated vaccines, which are manufactured in China and available in several other countries.”</w:t>
      </w:r>
    </w:p>
    <w:p w:rsidR="001320EF" w:rsidRDefault="001320EF" w:rsidP="00A36710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7C482D" w:rsidRPr="00041FDB" w:rsidRDefault="007C482D" w:rsidP="00A36710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In some countries use of the inactivated vaccine in younger infants is considered.</w:t>
      </w:r>
    </w:p>
    <w:p w:rsidR="00A36710" w:rsidRPr="00041FDB" w:rsidRDefault="00A36710" w:rsidP="00A36710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72278">
        <w:rPr>
          <w:rFonts w:ascii="Arial" w:hAnsi="Arial" w:cs="Arial"/>
          <w:b/>
          <w:sz w:val="20"/>
          <w:szCs w:val="20"/>
        </w:rPr>
        <w:lastRenderedPageBreak/>
        <w:t>Study demonstrating vaccine efficacy administered to infants from 6 months of age</w:t>
      </w:r>
      <w:r w:rsidRPr="00041FDB">
        <w:rPr>
          <w:rFonts w:ascii="Arial" w:hAnsi="Arial" w:cs="Arial"/>
          <w:sz w:val="20"/>
          <w:szCs w:val="20"/>
        </w:rPr>
        <w:t xml:space="preserve">:  </w:t>
      </w:r>
      <w:hyperlink r:id="rId13" w:history="1">
        <w:r w:rsidRPr="00041FDB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https://www.ncbi.nlm.nih.gov/pubmed/17905486</w:t>
        </w:r>
      </w:hyperlink>
      <w:r w:rsidRPr="00041FD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</w:p>
    <w:p w:rsidR="00A36710" w:rsidRDefault="00A36710" w:rsidP="00A367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6AE" w:rsidRPr="00A36710" w:rsidRDefault="00A36710" w:rsidP="00A36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278">
        <w:rPr>
          <w:rFonts w:ascii="Arial" w:hAnsi="Arial" w:cs="Arial"/>
          <w:b/>
          <w:sz w:val="20"/>
          <w:szCs w:val="20"/>
        </w:rPr>
        <w:t>US</w:t>
      </w:r>
      <w:r w:rsidR="00CB6C4B">
        <w:rPr>
          <w:rFonts w:ascii="Arial" w:hAnsi="Arial" w:cs="Arial"/>
          <w:b/>
          <w:sz w:val="20"/>
          <w:szCs w:val="20"/>
        </w:rPr>
        <w:t>A</w:t>
      </w:r>
      <w:r w:rsidR="00A606AE" w:rsidRPr="00772278">
        <w:rPr>
          <w:rFonts w:ascii="Arial" w:hAnsi="Arial" w:cs="Arial"/>
          <w:b/>
          <w:sz w:val="20"/>
          <w:szCs w:val="20"/>
        </w:rPr>
        <w:t xml:space="preserve"> Advisory Committee on Immunization Practices (ACIP)</w:t>
      </w:r>
      <w:r w:rsidR="00A606AE" w:rsidRPr="00A36710">
        <w:rPr>
          <w:rFonts w:ascii="Arial" w:hAnsi="Arial" w:cs="Arial"/>
          <w:sz w:val="20"/>
          <w:szCs w:val="20"/>
        </w:rPr>
        <w:t xml:space="preserve"> voted on </w:t>
      </w:r>
      <w:r w:rsidR="007C482D">
        <w:rPr>
          <w:rFonts w:ascii="Arial" w:hAnsi="Arial" w:cs="Arial"/>
          <w:sz w:val="20"/>
          <w:szCs w:val="20"/>
        </w:rPr>
        <w:t xml:space="preserve">22 </w:t>
      </w:r>
      <w:r w:rsidR="00A606AE" w:rsidRPr="00A36710">
        <w:rPr>
          <w:rFonts w:ascii="Arial" w:hAnsi="Arial" w:cs="Arial"/>
          <w:sz w:val="20"/>
          <w:szCs w:val="20"/>
        </w:rPr>
        <w:t xml:space="preserve">February </w:t>
      </w:r>
      <w:r w:rsidR="007C482D">
        <w:rPr>
          <w:rFonts w:ascii="Arial" w:hAnsi="Arial" w:cs="Arial"/>
          <w:sz w:val="20"/>
          <w:szCs w:val="20"/>
        </w:rPr>
        <w:t>2018</w:t>
      </w:r>
      <w:r w:rsidR="00A606AE" w:rsidRPr="00A36710">
        <w:rPr>
          <w:rFonts w:ascii="Arial" w:hAnsi="Arial" w:cs="Arial"/>
          <w:sz w:val="20"/>
          <w:szCs w:val="20"/>
        </w:rPr>
        <w:t xml:space="preserve"> to recommend</w:t>
      </w:r>
      <w:r w:rsidRPr="00A36710">
        <w:rPr>
          <w:rFonts w:ascii="Arial" w:hAnsi="Arial" w:cs="Arial"/>
          <w:sz w:val="20"/>
          <w:szCs w:val="20"/>
        </w:rPr>
        <w:t>:</w:t>
      </w:r>
      <w:r w:rsidR="00D979B4">
        <w:rPr>
          <w:rFonts w:ascii="Arial" w:hAnsi="Arial" w:cs="Arial"/>
          <w:sz w:val="20"/>
          <w:szCs w:val="20"/>
        </w:rPr>
        <w:t xml:space="preserve"> </w:t>
      </w:r>
      <w:r w:rsidR="00A606AE" w:rsidRPr="00A36710">
        <w:rPr>
          <w:rFonts w:ascii="Arial" w:hAnsi="Arial" w:cs="Arial"/>
          <w:bCs/>
          <w:i/>
          <w:sz w:val="20"/>
          <w:szCs w:val="20"/>
        </w:rPr>
        <w:t xml:space="preserve">Hepatitis A vaccine should be administered to </w:t>
      </w:r>
      <w:proofErr w:type="gramStart"/>
      <w:r w:rsidR="00A606AE" w:rsidRPr="00A36710">
        <w:rPr>
          <w:rFonts w:ascii="Arial" w:hAnsi="Arial" w:cs="Arial"/>
          <w:bCs/>
          <w:i/>
          <w:sz w:val="20"/>
          <w:szCs w:val="20"/>
        </w:rPr>
        <w:t>infants</w:t>
      </w:r>
      <w:proofErr w:type="gramEnd"/>
      <w:r w:rsidR="00A606AE" w:rsidRPr="00A36710">
        <w:rPr>
          <w:rFonts w:ascii="Arial" w:hAnsi="Arial" w:cs="Arial"/>
          <w:bCs/>
          <w:i/>
          <w:sz w:val="20"/>
          <w:szCs w:val="20"/>
        </w:rPr>
        <w:t xml:space="preserve"> age 6-11 months traveling outside the United States when protection against hepatitis A is recommended.</w:t>
      </w:r>
      <w:r w:rsidR="00D979B4">
        <w:rPr>
          <w:rFonts w:ascii="Arial" w:hAnsi="Arial" w:cs="Arial"/>
          <w:bCs/>
          <w:i/>
          <w:sz w:val="20"/>
          <w:szCs w:val="20"/>
        </w:rPr>
        <w:t xml:space="preserve"> </w:t>
      </w:r>
      <w:r w:rsidR="00A606AE" w:rsidRPr="00A36710">
        <w:rPr>
          <w:rFonts w:ascii="Arial" w:hAnsi="Arial" w:cs="Arial"/>
          <w:sz w:val="20"/>
          <w:szCs w:val="20"/>
        </w:rPr>
        <w:t>This recommendation should be published and official by the end of May.</w:t>
      </w:r>
    </w:p>
    <w:p w:rsidR="00A606AE" w:rsidRPr="00A36710" w:rsidRDefault="00A606AE" w:rsidP="00A606AE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2D0F73" w:rsidRPr="00FA6B5E" w:rsidRDefault="004E2651" w:rsidP="004E2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B5E">
        <w:rPr>
          <w:rFonts w:ascii="Arial" w:hAnsi="Arial" w:cs="Arial"/>
          <w:sz w:val="20"/>
          <w:szCs w:val="20"/>
        </w:rPr>
        <w:t xml:space="preserve">Rarely used but </w:t>
      </w:r>
      <w:r w:rsidR="007C482D" w:rsidRPr="00FA6B5E">
        <w:rPr>
          <w:rFonts w:ascii="Arial" w:hAnsi="Arial" w:cs="Arial"/>
          <w:sz w:val="20"/>
          <w:szCs w:val="20"/>
        </w:rPr>
        <w:t>in</w:t>
      </w:r>
      <w:r w:rsidR="00FA6B5E" w:rsidRPr="00FA6B5E">
        <w:rPr>
          <w:rFonts w:ascii="Arial" w:hAnsi="Arial" w:cs="Arial"/>
          <w:sz w:val="20"/>
          <w:szCs w:val="20"/>
        </w:rPr>
        <w:t xml:space="preserve"> some countries including</w:t>
      </w:r>
      <w:r w:rsidR="007C482D" w:rsidRPr="00FA6B5E">
        <w:rPr>
          <w:rFonts w:ascii="Arial" w:hAnsi="Arial" w:cs="Arial"/>
          <w:sz w:val="20"/>
          <w:szCs w:val="20"/>
        </w:rPr>
        <w:t xml:space="preserve"> US</w:t>
      </w:r>
      <w:r w:rsidR="00CB6C4B">
        <w:rPr>
          <w:rFonts w:ascii="Arial" w:hAnsi="Arial" w:cs="Arial"/>
          <w:sz w:val="20"/>
          <w:szCs w:val="20"/>
        </w:rPr>
        <w:t>A</w:t>
      </w:r>
      <w:r w:rsidR="00FA6B5E" w:rsidRPr="00FA6B5E">
        <w:rPr>
          <w:rFonts w:ascii="Arial" w:hAnsi="Arial" w:cs="Arial"/>
          <w:sz w:val="20"/>
          <w:szCs w:val="20"/>
        </w:rPr>
        <w:t>,</w:t>
      </w:r>
      <w:r w:rsidR="007C482D" w:rsidRPr="00FA6B5E">
        <w:rPr>
          <w:rFonts w:ascii="Arial" w:hAnsi="Arial" w:cs="Arial"/>
          <w:sz w:val="20"/>
          <w:szCs w:val="20"/>
        </w:rPr>
        <w:t xml:space="preserve"> </w:t>
      </w:r>
      <w:r w:rsidR="00FA6B5E">
        <w:rPr>
          <w:rFonts w:ascii="Arial" w:hAnsi="Arial" w:cs="Arial"/>
          <w:sz w:val="20"/>
          <w:szCs w:val="20"/>
        </w:rPr>
        <w:t xml:space="preserve">hepatitis </w:t>
      </w:r>
      <w:proofErr w:type="gramStart"/>
      <w:r w:rsidR="00FA6B5E">
        <w:rPr>
          <w:rFonts w:ascii="Arial" w:hAnsi="Arial" w:cs="Arial"/>
          <w:sz w:val="20"/>
          <w:szCs w:val="20"/>
        </w:rPr>
        <w:t>A</w:t>
      </w:r>
      <w:proofErr w:type="gramEnd"/>
      <w:r w:rsidR="00FA6B5E">
        <w:rPr>
          <w:rFonts w:ascii="Arial" w:hAnsi="Arial" w:cs="Arial"/>
          <w:sz w:val="20"/>
          <w:szCs w:val="20"/>
        </w:rPr>
        <w:t xml:space="preserve"> </w:t>
      </w:r>
      <w:r w:rsidR="00FA6B5E" w:rsidRPr="00FA6B5E">
        <w:rPr>
          <w:rFonts w:ascii="Arial" w:hAnsi="Arial" w:cs="Arial"/>
          <w:sz w:val="20"/>
          <w:szCs w:val="20"/>
        </w:rPr>
        <w:t xml:space="preserve">immunoglobulin can be </w:t>
      </w:r>
      <w:r w:rsidRPr="00FA6B5E">
        <w:rPr>
          <w:rFonts w:ascii="Arial" w:hAnsi="Arial" w:cs="Arial"/>
          <w:sz w:val="20"/>
          <w:szCs w:val="20"/>
        </w:rPr>
        <w:t>can be con</w:t>
      </w:r>
      <w:r w:rsidR="00FA6B5E" w:rsidRPr="00FA6B5E">
        <w:rPr>
          <w:rFonts w:ascii="Arial" w:hAnsi="Arial" w:cs="Arial"/>
          <w:sz w:val="20"/>
          <w:szCs w:val="20"/>
        </w:rPr>
        <w:t>sidered</w:t>
      </w:r>
      <w:r w:rsidR="00FA6B5E">
        <w:rPr>
          <w:rFonts w:ascii="Arial" w:hAnsi="Arial" w:cs="Arial"/>
          <w:sz w:val="20"/>
          <w:szCs w:val="20"/>
        </w:rPr>
        <w:t xml:space="preserve"> for travelers:</w:t>
      </w:r>
      <w:r w:rsidR="00FA6B5E" w:rsidRPr="00FA6B5E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FA6B5E" w:rsidRPr="00FA6B5E">
          <w:rPr>
            <w:rStyle w:val="Hyperlink"/>
            <w:rFonts w:ascii="Arial" w:hAnsi="Arial" w:cs="Arial"/>
            <w:color w:val="auto"/>
            <w:sz w:val="20"/>
            <w:szCs w:val="20"/>
          </w:rPr>
          <w:t>https://www.cdc.gov/hepatitis/IG-HBIG_Sources.htm</w:t>
        </w:r>
      </w:hyperlink>
      <w:r w:rsidR="00FA6B5E" w:rsidRPr="00FA6B5E">
        <w:rPr>
          <w:rFonts w:ascii="Arial" w:hAnsi="Arial" w:cs="Arial"/>
          <w:sz w:val="20"/>
          <w:szCs w:val="20"/>
        </w:rPr>
        <w:t xml:space="preserve"> </w:t>
      </w:r>
    </w:p>
    <w:p w:rsidR="002D0F73" w:rsidRPr="00041FDB" w:rsidRDefault="002D0F73" w:rsidP="002D0F73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:rsidR="00A606AE" w:rsidRPr="00697C52" w:rsidRDefault="00714729" w:rsidP="00A606AE">
      <w:pPr>
        <w:spacing w:after="0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697C52">
        <w:rPr>
          <w:rStyle w:val="Hyperlink"/>
          <w:rFonts w:ascii="Arial" w:hAnsi="Arial" w:cs="Arial"/>
          <w:b/>
          <w:color w:val="auto"/>
          <w:sz w:val="20"/>
          <w:szCs w:val="20"/>
        </w:rPr>
        <w:t>Hepatitis B</w:t>
      </w:r>
    </w:p>
    <w:p w:rsidR="00714729" w:rsidRPr="00697C52" w:rsidRDefault="00697C52" w:rsidP="00A606AE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97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Hepatitis B may not have been administered in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</w:t>
      </w:r>
      <w:r w:rsidRPr="00697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childhood </w:t>
      </w:r>
      <w:proofErr w:type="spellStart"/>
      <w:r w:rsidRPr="00697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programme</w:t>
      </w:r>
      <w:proofErr w:type="spellEnd"/>
      <w:r w:rsidRPr="00697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in some countries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(e.g. only recently added to childhood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programme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in UK). If indicated, check national guidance on product to be used for children at different age groups.</w:t>
      </w:r>
    </w:p>
    <w:p w:rsidR="00697C52" w:rsidRPr="00041FDB" w:rsidRDefault="00697C52" w:rsidP="00A606AE">
      <w:pPr>
        <w:spacing w:after="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3A4304" w:rsidRPr="00041FDB" w:rsidRDefault="008A1CB2" w:rsidP="003A4304">
      <w:pPr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b/>
          <w:sz w:val="20"/>
          <w:szCs w:val="20"/>
          <w:u w:val="single"/>
        </w:rPr>
        <w:t>J</w:t>
      </w:r>
      <w:r w:rsidR="00374721" w:rsidRPr="00041FDB">
        <w:rPr>
          <w:rFonts w:ascii="Arial" w:hAnsi="Arial" w:cs="Arial"/>
          <w:b/>
          <w:sz w:val="20"/>
          <w:szCs w:val="20"/>
          <w:u w:val="single"/>
        </w:rPr>
        <w:t xml:space="preserve">apanese </w:t>
      </w:r>
      <w:r w:rsidRPr="00041FDB">
        <w:rPr>
          <w:rFonts w:ascii="Arial" w:hAnsi="Arial" w:cs="Arial"/>
          <w:b/>
          <w:sz w:val="20"/>
          <w:szCs w:val="20"/>
          <w:u w:val="single"/>
        </w:rPr>
        <w:t>E</w:t>
      </w:r>
      <w:r w:rsidR="00374721" w:rsidRPr="00041FDB">
        <w:rPr>
          <w:rFonts w:ascii="Arial" w:hAnsi="Arial" w:cs="Arial"/>
          <w:b/>
          <w:sz w:val="20"/>
          <w:szCs w:val="20"/>
          <w:u w:val="single"/>
        </w:rPr>
        <w:t>n</w:t>
      </w:r>
      <w:r w:rsidR="002705B8" w:rsidRPr="00041FDB">
        <w:rPr>
          <w:rFonts w:ascii="Arial" w:hAnsi="Arial" w:cs="Arial"/>
          <w:b/>
          <w:sz w:val="20"/>
          <w:szCs w:val="20"/>
          <w:u w:val="single"/>
        </w:rPr>
        <w:t>c</w:t>
      </w:r>
      <w:r w:rsidR="00374721" w:rsidRPr="00041FDB">
        <w:rPr>
          <w:rFonts w:ascii="Arial" w:hAnsi="Arial" w:cs="Arial"/>
          <w:b/>
          <w:sz w:val="20"/>
          <w:szCs w:val="20"/>
          <w:u w:val="single"/>
        </w:rPr>
        <w:t>ephalitis</w:t>
      </w:r>
      <w:r w:rsidRPr="00041FDB">
        <w:rPr>
          <w:rFonts w:ascii="Arial" w:hAnsi="Arial" w:cs="Arial"/>
          <w:b/>
          <w:sz w:val="20"/>
          <w:szCs w:val="20"/>
        </w:rPr>
        <w:t xml:space="preserve"> </w:t>
      </w:r>
    </w:p>
    <w:p w:rsidR="003A4304" w:rsidRPr="00041FDB" w:rsidRDefault="00EE7526" w:rsidP="003A4304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041FDB">
        <w:rPr>
          <w:rFonts w:ascii="Arial" w:hAnsi="Arial" w:cs="Arial"/>
          <w:sz w:val="20"/>
          <w:szCs w:val="20"/>
        </w:rPr>
        <w:t>Ixiaro</w:t>
      </w:r>
      <w:proofErr w:type="spellEnd"/>
      <w:r w:rsidRPr="00041FDB">
        <w:rPr>
          <w:rFonts w:ascii="Arial" w:hAnsi="Arial" w:cs="Arial"/>
          <w:sz w:val="20"/>
          <w:szCs w:val="20"/>
        </w:rPr>
        <w:t xml:space="preserve"> – known as JESPECT in some countries </w:t>
      </w:r>
      <w:r w:rsidR="008A1CB2" w:rsidRPr="00041FDB">
        <w:rPr>
          <w:rFonts w:ascii="Arial" w:hAnsi="Arial" w:cs="Arial"/>
          <w:sz w:val="20"/>
          <w:szCs w:val="20"/>
        </w:rPr>
        <w:t>$400-500 for 2 shot series</w:t>
      </w:r>
      <w:r w:rsidR="002C2053">
        <w:rPr>
          <w:rFonts w:ascii="Arial" w:hAnsi="Arial" w:cs="Arial"/>
          <w:sz w:val="20"/>
          <w:szCs w:val="20"/>
        </w:rPr>
        <w:t xml:space="preserve"> in US</w:t>
      </w:r>
      <w:r w:rsidR="006C3E42" w:rsidRPr="00041FDB">
        <w:rPr>
          <w:rFonts w:ascii="Arial" w:hAnsi="Arial" w:cs="Arial"/>
          <w:sz w:val="20"/>
          <w:szCs w:val="20"/>
        </w:rPr>
        <w:t xml:space="preserve"> (cheaper </w:t>
      </w:r>
      <w:r w:rsidR="00041FDB" w:rsidRPr="00041FDB">
        <w:rPr>
          <w:rFonts w:ascii="Arial" w:hAnsi="Arial" w:cs="Arial"/>
          <w:sz w:val="20"/>
          <w:szCs w:val="20"/>
        </w:rPr>
        <w:t>~</w:t>
      </w:r>
      <w:r w:rsidR="006C3E42" w:rsidRPr="00041FDB">
        <w:rPr>
          <w:rFonts w:ascii="Arial" w:hAnsi="Arial" w:cs="Arial"/>
          <w:sz w:val="20"/>
          <w:szCs w:val="20"/>
        </w:rPr>
        <w:t>£</w:t>
      </w:r>
      <w:r w:rsidR="00041FDB" w:rsidRPr="00041FDB">
        <w:rPr>
          <w:rFonts w:ascii="Arial" w:hAnsi="Arial" w:cs="Arial"/>
          <w:sz w:val="20"/>
          <w:szCs w:val="20"/>
        </w:rPr>
        <w:t>180</w:t>
      </w:r>
      <w:r w:rsidR="006C3E42" w:rsidRPr="00041FDB">
        <w:rPr>
          <w:rFonts w:ascii="Arial" w:hAnsi="Arial" w:cs="Arial"/>
          <w:sz w:val="20"/>
          <w:szCs w:val="20"/>
        </w:rPr>
        <w:t xml:space="preserve"> in the UK</w:t>
      </w:r>
      <w:r w:rsidRPr="00041FDB">
        <w:rPr>
          <w:rFonts w:ascii="Arial" w:hAnsi="Arial" w:cs="Arial"/>
          <w:sz w:val="20"/>
          <w:szCs w:val="20"/>
        </w:rPr>
        <w:t>)</w:t>
      </w:r>
      <w:r w:rsidR="00A31E81" w:rsidRPr="00041FDB">
        <w:rPr>
          <w:rFonts w:ascii="Arial" w:hAnsi="Arial" w:cs="Arial"/>
          <w:sz w:val="20"/>
          <w:szCs w:val="20"/>
        </w:rPr>
        <w:t>.</w:t>
      </w:r>
      <w:r w:rsidR="003A4304" w:rsidRPr="00041FDB">
        <w:rPr>
          <w:rFonts w:ascii="Arial" w:hAnsi="Arial" w:cs="Arial"/>
          <w:sz w:val="20"/>
          <w:szCs w:val="20"/>
        </w:rPr>
        <w:t xml:space="preserve"> </w:t>
      </w:r>
      <w:r w:rsidR="003A4304" w:rsidRPr="00041FDB">
        <w:rPr>
          <w:rFonts w:ascii="Arial" w:eastAsia="Times New Roman" w:hAnsi="Arial" w:cs="Arial"/>
          <w:sz w:val="20"/>
          <w:szCs w:val="20"/>
          <w:lang w:val="en-GB" w:eastAsia="en-GB"/>
        </w:rPr>
        <w:t>Production of this vaccine was transferred by technology agreement to another manufacturer and was licensed in 2012 in India (JEEV®) and since then in other countries in Asia.</w:t>
      </w:r>
    </w:p>
    <w:p w:rsidR="008A1CB2" w:rsidRPr="00041FDB" w:rsidRDefault="00A31E81" w:rsidP="0037472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>Other vaccines available in Asia including live vaccines</w:t>
      </w:r>
      <w:r w:rsidR="003A4304" w:rsidRPr="00041FDB">
        <w:rPr>
          <w:rFonts w:ascii="Arial" w:hAnsi="Arial" w:cs="Arial"/>
          <w:sz w:val="20"/>
          <w:szCs w:val="20"/>
        </w:rPr>
        <w:t xml:space="preserve"> (see WHO position paper</w:t>
      </w:r>
      <w:r w:rsidR="003A4304" w:rsidRPr="00041FDB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r w:rsidR="003A4304" w:rsidRPr="00041FDB">
          <w:rPr>
            <w:rStyle w:val="Hyperlink"/>
            <w:rFonts w:ascii="Arial" w:hAnsi="Arial" w:cs="Arial"/>
            <w:sz w:val="20"/>
            <w:szCs w:val="20"/>
          </w:rPr>
          <w:t>http://www.who.int/wer/2015/wer9009.pdf?ua=1</w:t>
        </w:r>
      </w:hyperlink>
      <w:r w:rsidR="00EE7526" w:rsidRPr="00041FDB">
        <w:rPr>
          <w:rFonts w:ascii="Arial" w:hAnsi="Arial" w:cs="Arial"/>
          <w:sz w:val="20"/>
          <w:szCs w:val="20"/>
        </w:rPr>
        <w:t>)</w:t>
      </w:r>
      <w:r w:rsidRPr="00041FDB">
        <w:rPr>
          <w:rFonts w:ascii="Arial" w:hAnsi="Arial" w:cs="Arial"/>
          <w:sz w:val="20"/>
          <w:szCs w:val="20"/>
        </w:rPr>
        <w:t>.</w:t>
      </w:r>
    </w:p>
    <w:p w:rsidR="003A4304" w:rsidRPr="00041FDB" w:rsidRDefault="003A4304" w:rsidP="003A430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</w:p>
    <w:p w:rsidR="003A4304" w:rsidRPr="002C2053" w:rsidRDefault="003A4304" w:rsidP="0037472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C2053">
        <w:rPr>
          <w:rFonts w:ascii="Arial" w:hAnsi="Arial" w:cs="Arial"/>
          <w:sz w:val="20"/>
          <w:szCs w:val="20"/>
        </w:rPr>
        <w:t>JE Risk</w:t>
      </w:r>
      <w:r w:rsidR="00FF76C9">
        <w:rPr>
          <w:rFonts w:ascii="Arial" w:hAnsi="Arial" w:cs="Arial"/>
          <w:sz w:val="20"/>
          <w:szCs w:val="20"/>
        </w:rPr>
        <w:t xml:space="preserve"> is low risk for most </w:t>
      </w:r>
      <w:r w:rsidR="00386E70">
        <w:rPr>
          <w:rFonts w:ascii="Arial" w:hAnsi="Arial" w:cs="Arial"/>
          <w:sz w:val="20"/>
          <w:szCs w:val="20"/>
        </w:rPr>
        <w:t xml:space="preserve">travelers </w:t>
      </w:r>
      <w:hyperlink r:id="rId16" w:anchor="_blank" w:history="1">
        <w:r w:rsidR="00386E70" w:rsidRPr="009A6B7D">
          <w:rPr>
            <w:rStyle w:val="Hyperlink"/>
            <w:rFonts w:ascii="Arial" w:hAnsi="Arial" w:cs="Arial"/>
            <w:sz w:val="20"/>
            <w:szCs w:val="20"/>
          </w:rPr>
          <w:t>https://www.cdc.gov/mmwr/preview/mmwrhtml/rr5901a1.htm#_blank</w:t>
        </w:r>
      </w:hyperlink>
      <w:r w:rsidR="00386E70">
        <w:rPr>
          <w:rFonts w:ascii="Arial" w:hAnsi="Arial" w:cs="Arial"/>
          <w:sz w:val="20"/>
          <w:szCs w:val="20"/>
        </w:rPr>
        <w:t xml:space="preserve"> </w:t>
      </w:r>
    </w:p>
    <w:p w:rsidR="008A1CB2" w:rsidRPr="00386E70" w:rsidRDefault="008A1CB2" w:rsidP="0037472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ab/>
      </w:r>
      <w:r w:rsidRPr="00386E70">
        <w:rPr>
          <w:rFonts w:ascii="Arial" w:hAnsi="Arial" w:cs="Arial"/>
          <w:i/>
          <w:sz w:val="20"/>
          <w:szCs w:val="20"/>
        </w:rPr>
        <w:t>Travelers &lt; 1 case per Million</w:t>
      </w:r>
    </w:p>
    <w:p w:rsidR="008A1CB2" w:rsidRPr="00386E70" w:rsidRDefault="008A1CB2" w:rsidP="0037472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386E70">
        <w:rPr>
          <w:rFonts w:ascii="Arial" w:hAnsi="Arial" w:cs="Arial"/>
          <w:i/>
          <w:sz w:val="20"/>
          <w:szCs w:val="20"/>
        </w:rPr>
        <w:tab/>
        <w:t xml:space="preserve">Expats and prolonged stay in rural areas: </w:t>
      </w:r>
      <w:r w:rsidR="00386E70" w:rsidRPr="00386E70">
        <w:rPr>
          <w:rFonts w:ascii="Arial" w:hAnsi="Arial" w:cs="Arial"/>
          <w:i/>
          <w:sz w:val="20"/>
          <w:szCs w:val="20"/>
        </w:rPr>
        <w:t>~</w:t>
      </w:r>
      <w:r w:rsidRPr="00386E70">
        <w:rPr>
          <w:rFonts w:ascii="Arial" w:hAnsi="Arial" w:cs="Arial"/>
          <w:i/>
          <w:sz w:val="20"/>
          <w:szCs w:val="20"/>
        </w:rPr>
        <w:t>5-50 per 100,000</w:t>
      </w:r>
    </w:p>
    <w:p w:rsidR="00EE7526" w:rsidRPr="00041FDB" w:rsidRDefault="003A4304" w:rsidP="002C2053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  <w:sz w:val="20"/>
          <w:szCs w:val="20"/>
        </w:rPr>
      </w:pPr>
      <w:r w:rsidRPr="00041FDB">
        <w:rPr>
          <w:rFonts w:ascii="Arial" w:hAnsi="Arial" w:cs="Arial"/>
          <w:color w:val="000000"/>
          <w:sz w:val="20"/>
          <w:szCs w:val="20"/>
        </w:rPr>
        <w:t>From WHO Position paper</w:t>
      </w:r>
      <w:r w:rsidR="002C2053">
        <w:rPr>
          <w:rFonts w:ascii="Arial" w:hAnsi="Arial" w:cs="Arial"/>
          <w:color w:val="000000"/>
          <w:sz w:val="20"/>
          <w:szCs w:val="20"/>
        </w:rPr>
        <w:t xml:space="preserve"> (link above)</w:t>
      </w:r>
      <w:r w:rsidRPr="00041FDB">
        <w:rPr>
          <w:rFonts w:ascii="Arial" w:hAnsi="Arial" w:cs="Arial"/>
          <w:color w:val="000000"/>
          <w:sz w:val="20"/>
          <w:szCs w:val="20"/>
        </w:rPr>
        <w:t>:</w:t>
      </w:r>
    </w:p>
    <w:p w:rsidR="00EE7526" w:rsidRPr="00041FDB" w:rsidRDefault="009B2842" w:rsidP="00EE75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‘</w:t>
      </w:r>
      <w:r w:rsidR="00EE7526" w:rsidRPr="00041FDB">
        <w:rPr>
          <w:rFonts w:ascii="Arial" w:hAnsi="Arial" w:cs="Arial"/>
          <w:i/>
          <w:sz w:val="20"/>
          <w:szCs w:val="20"/>
        </w:rPr>
        <w:t>Severe disease is rare but can be devastating with a high rate of residual disability’</w:t>
      </w:r>
    </w:p>
    <w:p w:rsidR="00EE7526" w:rsidRPr="00041FDB" w:rsidRDefault="00EE7526" w:rsidP="00EE752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7526" w:rsidRPr="00041FDB" w:rsidRDefault="00EE7526" w:rsidP="00EE752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041FDB">
        <w:rPr>
          <w:rFonts w:ascii="Arial" w:hAnsi="Arial" w:cs="Arial"/>
          <w:i/>
          <w:sz w:val="20"/>
          <w:szCs w:val="20"/>
        </w:rPr>
        <w:t>‘</w:t>
      </w:r>
      <w:proofErr w:type="gramStart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about</w:t>
      </w:r>
      <w:proofErr w:type="gramEnd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30% of the surviving patients have serious residual neurologic, psychosocial, </w:t>
      </w:r>
    </w:p>
    <w:p w:rsidR="00EE7526" w:rsidRPr="00041FDB" w:rsidRDefault="00EE7526" w:rsidP="00EE752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proofErr w:type="gramStart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intellectual</w:t>
      </w:r>
      <w:proofErr w:type="gramEnd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and/or physical disabilities, with a higher rate of </w:t>
      </w:r>
      <w:proofErr w:type="spellStart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sequelae</w:t>
      </w:r>
      <w:proofErr w:type="spellEnd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reported for children.</w:t>
      </w:r>
    </w:p>
    <w:p w:rsidR="00EE7526" w:rsidRPr="00041FDB" w:rsidRDefault="00EE7526" w:rsidP="00EE752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EE7526" w:rsidRPr="00041FDB" w:rsidRDefault="009B2842" w:rsidP="00EE752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‘</w:t>
      </w:r>
      <w:r w:rsidR="00EE7526"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Case-fatality in clinical cases is estimated to be around 20%–30%, with young children (&lt;10 years) having a greater risk of severe disease and a higher case-fatality rate.</w:t>
      </w:r>
      <w:r w:rsidR="00EE7526" w:rsidRPr="002C2053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en-GB"/>
        </w:rPr>
        <w:t>10</w:t>
      </w:r>
      <w:r w:rsidR="00EE7526"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’</w:t>
      </w:r>
    </w:p>
    <w:p w:rsidR="008C48F2" w:rsidRPr="00041FDB" w:rsidRDefault="008C48F2" w:rsidP="008C48F2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7022AE" w:rsidRPr="00041FDB" w:rsidRDefault="007022AE" w:rsidP="008A1CB2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  <w:sz w:val="20"/>
          <w:szCs w:val="20"/>
        </w:rPr>
      </w:pPr>
      <w:r w:rsidRPr="002F26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Meningococcal </w:t>
      </w:r>
      <w:r w:rsidRPr="00041FD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76C9" w:rsidRPr="00041FDB" w:rsidRDefault="007022AE" w:rsidP="00FF7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ab/>
      </w:r>
    </w:p>
    <w:p w:rsidR="00374721" w:rsidRPr="00041FDB" w:rsidRDefault="00FF76C9" w:rsidP="003747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currently recommended as a travel vaccine for India but meningococcal vaccines are provided in childhood immunization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programmes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check these are up to date.</w:t>
      </w:r>
    </w:p>
    <w:p w:rsidR="00374721" w:rsidRPr="00041FDB" w:rsidRDefault="007E3D40" w:rsidP="0037472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374721" w:rsidRPr="00041FDB">
          <w:rPr>
            <w:rStyle w:val="Hyperlink"/>
            <w:rFonts w:ascii="Arial" w:hAnsi="Arial" w:cs="Arial"/>
            <w:sz w:val="20"/>
            <w:szCs w:val="20"/>
          </w:rPr>
          <w:t>https://www.cdc.gov/mmwr/preview/mmwrhtml/mm6324a2.htm</w:t>
        </w:r>
      </w:hyperlink>
      <w:r w:rsidR="00374721" w:rsidRPr="00041FDB">
        <w:rPr>
          <w:rFonts w:ascii="Arial" w:hAnsi="Arial" w:cs="Arial"/>
          <w:sz w:val="20"/>
          <w:szCs w:val="20"/>
        </w:rPr>
        <w:t xml:space="preserve">  (</w:t>
      </w:r>
      <w:r w:rsidR="00FF76C9">
        <w:rPr>
          <w:rFonts w:ascii="Arial" w:hAnsi="Arial" w:cs="Arial"/>
          <w:sz w:val="20"/>
          <w:szCs w:val="20"/>
        </w:rPr>
        <w:t xml:space="preserve">USA </w:t>
      </w:r>
      <w:r w:rsidR="00374721" w:rsidRPr="00041FDB">
        <w:rPr>
          <w:rFonts w:ascii="Arial" w:hAnsi="Arial" w:cs="Arial"/>
          <w:sz w:val="20"/>
          <w:szCs w:val="20"/>
        </w:rPr>
        <w:t>recs from MMWR 2013)</w:t>
      </w:r>
    </w:p>
    <w:p w:rsidR="00374721" w:rsidRPr="00041FDB" w:rsidRDefault="00374721" w:rsidP="003747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721" w:rsidRPr="00C342B8" w:rsidRDefault="00F314C0" w:rsidP="0037472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342B8">
        <w:rPr>
          <w:rFonts w:ascii="Arial" w:hAnsi="Arial" w:cs="Arial"/>
          <w:b/>
          <w:sz w:val="20"/>
          <w:szCs w:val="20"/>
          <w:u w:val="single"/>
        </w:rPr>
        <w:t>Rabies</w:t>
      </w:r>
    </w:p>
    <w:p w:rsidR="00F314C0" w:rsidRPr="00041FDB" w:rsidRDefault="00F314C0" w:rsidP="00F314C0">
      <w:pPr>
        <w:spacing w:after="0"/>
        <w:rPr>
          <w:rFonts w:ascii="Arial" w:hAnsi="Arial" w:cs="Arial"/>
          <w:sz w:val="20"/>
          <w:szCs w:val="20"/>
        </w:rPr>
      </w:pPr>
    </w:p>
    <w:p w:rsidR="009460D0" w:rsidRPr="00041FDB" w:rsidRDefault="009460D0" w:rsidP="00F314C0">
      <w:pPr>
        <w:spacing w:after="0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 xml:space="preserve">WHO position </w:t>
      </w:r>
      <w:proofErr w:type="gramStart"/>
      <w:r w:rsidRPr="00041FDB">
        <w:rPr>
          <w:rFonts w:ascii="Arial" w:hAnsi="Arial" w:cs="Arial"/>
          <w:sz w:val="20"/>
          <w:szCs w:val="20"/>
        </w:rPr>
        <w:t>paper</w:t>
      </w:r>
      <w:proofErr w:type="gramEnd"/>
    </w:p>
    <w:p w:rsidR="009460D0" w:rsidRPr="00041FDB" w:rsidRDefault="007E3D40" w:rsidP="00F314C0">
      <w:pPr>
        <w:spacing w:after="0"/>
        <w:rPr>
          <w:rFonts w:ascii="Arial" w:hAnsi="Arial" w:cs="Arial"/>
          <w:sz w:val="20"/>
          <w:szCs w:val="20"/>
        </w:rPr>
      </w:pPr>
      <w:hyperlink r:id="rId18" w:history="1">
        <w:r w:rsidR="009460D0" w:rsidRPr="00041FDB">
          <w:rPr>
            <w:rStyle w:val="Hyperlink"/>
            <w:rFonts w:ascii="Arial" w:hAnsi="Arial" w:cs="Arial"/>
            <w:sz w:val="20"/>
            <w:szCs w:val="20"/>
          </w:rPr>
          <w:t>http://www.who.int/wer/2010/wer8532.pdf?ua=1</w:t>
        </w:r>
      </w:hyperlink>
      <w:r w:rsidR="009460D0" w:rsidRPr="00041FDB">
        <w:rPr>
          <w:rFonts w:ascii="Arial" w:hAnsi="Arial" w:cs="Arial"/>
          <w:sz w:val="20"/>
          <w:szCs w:val="20"/>
        </w:rPr>
        <w:t xml:space="preserve"> </w:t>
      </w:r>
    </w:p>
    <w:p w:rsidR="009460D0" w:rsidRPr="00041FDB" w:rsidRDefault="009460D0" w:rsidP="009460D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9460D0" w:rsidRDefault="00951324" w:rsidP="009460D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“</w:t>
      </w:r>
      <w:r w:rsidR="009460D0"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Although all age groups are susceptible, rabies is most common in children aged &lt;15 years; on average 40% of post-exposure immunizations are given to children aged 5–14 years, and the majority of those immunized are male.</w:t>
      </w: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”</w:t>
      </w:r>
    </w:p>
    <w:p w:rsidR="00B23C18" w:rsidRDefault="00B23C18" w:rsidP="009460D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B23C18" w:rsidRPr="00041FDB" w:rsidRDefault="00B23C18" w:rsidP="00B23C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that changes may be in the pipeline for national policies on rabies vaccines following SAGE meeting</w:t>
      </w:r>
      <w:r w:rsidR="006C4FA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SAGE proposed revision of policy on rabies vaccines and immunoglobulin Sept 2017 </w:t>
      </w:r>
      <w:hyperlink r:id="rId19" w:history="1">
        <w:r w:rsidRPr="00A55949">
          <w:rPr>
            <w:rStyle w:val="Hyperlink"/>
            <w:rFonts w:ascii="Arial" w:hAnsi="Arial" w:cs="Arial"/>
            <w:sz w:val="20"/>
            <w:szCs w:val="20"/>
          </w:rPr>
          <w:t>http://www.who.int/immunization/sage/meetings/2017/october/1_Background_paper_WG_RABIES_final.pdf?ua=1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23C18" w:rsidRDefault="00B23C18" w:rsidP="009460D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951324" w:rsidRPr="00041FDB" w:rsidRDefault="00951324" w:rsidP="009513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 xml:space="preserve">Pre-exposure prophylaxis schedule 2008 – 3 doses D 0, 7, 21 or </w:t>
      </w:r>
      <w:proofErr w:type="gramStart"/>
      <w:r w:rsidRPr="00041FDB">
        <w:rPr>
          <w:rFonts w:ascii="Arial" w:hAnsi="Arial" w:cs="Arial"/>
          <w:sz w:val="20"/>
          <w:szCs w:val="20"/>
        </w:rPr>
        <w:t>28  $</w:t>
      </w:r>
      <w:proofErr w:type="gramEnd"/>
      <w:r w:rsidRPr="00041FDB">
        <w:rPr>
          <w:rFonts w:ascii="Arial" w:hAnsi="Arial" w:cs="Arial"/>
          <w:sz w:val="20"/>
          <w:szCs w:val="20"/>
        </w:rPr>
        <w:t>1000 (in the UK the price is cheaper ~£180 for course of 3)</w:t>
      </w:r>
      <w:r w:rsidR="000B418D">
        <w:rPr>
          <w:rFonts w:ascii="Arial" w:hAnsi="Arial" w:cs="Arial"/>
          <w:sz w:val="20"/>
          <w:szCs w:val="20"/>
        </w:rPr>
        <w:t>. Check National recommendations on pre and post exposure courses.</w:t>
      </w:r>
    </w:p>
    <w:p w:rsidR="000B418D" w:rsidRDefault="000B418D" w:rsidP="00951324">
      <w:pPr>
        <w:spacing w:after="0"/>
      </w:pPr>
    </w:p>
    <w:p w:rsidR="000B418D" w:rsidRDefault="009B2842" w:rsidP="009B2842">
      <w:pPr>
        <w:autoSpaceDE w:val="0"/>
        <w:autoSpaceDN w:val="0"/>
        <w:adjustRightInd w:val="0"/>
        <w:rPr>
          <w:rFonts w:ascii="Arial" w:hAnsi="Arial" w:cs="JansonText-Roman"/>
          <w:sz w:val="20"/>
          <w:szCs w:val="19"/>
        </w:rPr>
      </w:pPr>
      <w:r w:rsidRPr="005B0833">
        <w:rPr>
          <w:rFonts w:ascii="Arial" w:hAnsi="Arial" w:cs="JansonText-Roman"/>
          <w:sz w:val="20"/>
          <w:szCs w:val="19"/>
        </w:rPr>
        <w:t xml:space="preserve">Children </w:t>
      </w:r>
      <w:r>
        <w:rPr>
          <w:rFonts w:ascii="Arial" w:hAnsi="Arial" w:cs="JansonText-Roman"/>
          <w:sz w:val="20"/>
          <w:szCs w:val="19"/>
        </w:rPr>
        <w:t xml:space="preserve">are </w:t>
      </w:r>
      <w:r w:rsidRPr="005B0833">
        <w:rPr>
          <w:rFonts w:ascii="Arial" w:hAnsi="Arial" w:cs="JansonText-Roman"/>
          <w:sz w:val="20"/>
          <w:szCs w:val="19"/>
        </w:rPr>
        <w:t xml:space="preserve">at particular risk as they are attracted to animals and they may not report a bite, scratch or lick to mucous membranes (such as the mouth, nose or eyes). </w:t>
      </w:r>
    </w:p>
    <w:p w:rsidR="009B2842" w:rsidRPr="00F8545D" w:rsidRDefault="009B2842" w:rsidP="009B2842">
      <w:pPr>
        <w:autoSpaceDE w:val="0"/>
        <w:autoSpaceDN w:val="0"/>
        <w:adjustRightInd w:val="0"/>
        <w:rPr>
          <w:rFonts w:ascii="Arial" w:hAnsi="Arial" w:cs="JansonText-Roman"/>
          <w:sz w:val="20"/>
          <w:szCs w:val="17"/>
        </w:rPr>
      </w:pPr>
      <w:r w:rsidRPr="005B0833">
        <w:rPr>
          <w:rFonts w:ascii="Arial" w:hAnsi="Arial" w:cs="JansonText-Roman"/>
          <w:sz w:val="20"/>
          <w:szCs w:val="19"/>
        </w:rPr>
        <w:t xml:space="preserve">Also children </w:t>
      </w:r>
      <w:r>
        <w:rPr>
          <w:rFonts w:ascii="Arial" w:hAnsi="Arial" w:cs="JansonText-Roman"/>
          <w:sz w:val="20"/>
          <w:szCs w:val="19"/>
        </w:rPr>
        <w:t xml:space="preserve">are </w:t>
      </w:r>
      <w:r w:rsidRPr="005B0833">
        <w:rPr>
          <w:rFonts w:ascii="Arial" w:hAnsi="Arial" w:cs="JansonText-Roman"/>
          <w:sz w:val="20"/>
          <w:szCs w:val="19"/>
        </w:rPr>
        <w:t>more prone to bites on the face</w:t>
      </w:r>
      <w:r>
        <w:rPr>
          <w:rFonts w:ascii="Arial" w:hAnsi="Arial" w:cs="JansonText-Roman"/>
          <w:sz w:val="20"/>
          <w:szCs w:val="19"/>
        </w:rPr>
        <w:t xml:space="preserve"> and head</w:t>
      </w:r>
      <w:r w:rsidRPr="005B0833">
        <w:rPr>
          <w:rFonts w:ascii="Arial" w:hAnsi="Arial" w:cs="JansonText-Roman"/>
          <w:sz w:val="20"/>
          <w:szCs w:val="19"/>
        </w:rPr>
        <w:t xml:space="preserve"> due to their size</w:t>
      </w:r>
      <w:r>
        <w:rPr>
          <w:rFonts w:ascii="Arial" w:hAnsi="Arial" w:cs="JansonText-Roman"/>
          <w:sz w:val="20"/>
          <w:szCs w:val="19"/>
        </w:rPr>
        <w:t xml:space="preserve">; this was reported in a study from </w:t>
      </w:r>
      <w:r w:rsidRPr="00B6525A">
        <w:rPr>
          <w:rFonts w:ascii="Arial" w:hAnsi="Arial" w:cs="JansonText-Roman"/>
          <w:sz w:val="20"/>
          <w:szCs w:val="19"/>
        </w:rPr>
        <w:t>Nepal</w:t>
      </w:r>
      <w:r>
        <w:rPr>
          <w:rFonts w:ascii="Arial" w:hAnsi="Arial" w:cs="JansonText-Roman"/>
          <w:sz w:val="20"/>
          <w:szCs w:val="19"/>
        </w:rPr>
        <w:t xml:space="preserve"> in 2002</w:t>
      </w:r>
      <w:r w:rsidRPr="00B6525A">
        <w:rPr>
          <w:rFonts w:ascii="Arial" w:hAnsi="Arial" w:cs="JansonText-Roman"/>
          <w:sz w:val="20"/>
          <w:szCs w:val="19"/>
        </w:rPr>
        <w:t xml:space="preserve"> (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>Pandey,</w:t>
      </w:r>
      <w:r>
        <w:rPr>
          <w:rFonts w:ascii="Arial" w:hAnsi="Arial" w:cs="Bembo-Italic"/>
          <w:iCs/>
          <w:color w:val="070707"/>
          <w:sz w:val="20"/>
          <w:szCs w:val="28"/>
        </w:rPr>
        <w:t xml:space="preserve"> P.,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 xml:space="preserve"> </w:t>
      </w:r>
      <w:proofErr w:type="spellStart"/>
      <w:r w:rsidRPr="00F8545D">
        <w:rPr>
          <w:rFonts w:ascii="Arial" w:hAnsi="Arial" w:cs="Bembo-Italic"/>
          <w:iCs/>
          <w:color w:val="070707"/>
          <w:sz w:val="20"/>
          <w:szCs w:val="28"/>
        </w:rPr>
        <w:t>Shlim</w:t>
      </w:r>
      <w:proofErr w:type="spellEnd"/>
      <w:r>
        <w:rPr>
          <w:rFonts w:ascii="Arial" w:hAnsi="Arial" w:cs="Bembo-Italic"/>
          <w:iCs/>
          <w:color w:val="070707"/>
          <w:sz w:val="20"/>
          <w:szCs w:val="28"/>
        </w:rPr>
        <w:t xml:space="preserve"> 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>D</w:t>
      </w:r>
      <w:r>
        <w:rPr>
          <w:rFonts w:ascii="Arial" w:hAnsi="Arial" w:cs="Bembo-Italic"/>
          <w:iCs/>
          <w:color w:val="070707"/>
          <w:sz w:val="20"/>
          <w:szCs w:val="28"/>
        </w:rPr>
        <w:t>.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>R.,</w:t>
      </w:r>
      <w:r>
        <w:rPr>
          <w:rFonts w:ascii="Arial" w:hAnsi="Arial" w:cs="Bembo-Italic"/>
          <w:iCs/>
          <w:color w:val="070707"/>
          <w:sz w:val="20"/>
          <w:szCs w:val="28"/>
        </w:rPr>
        <w:t xml:space="preserve"> 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>Cave</w:t>
      </w:r>
      <w:r>
        <w:rPr>
          <w:rFonts w:ascii="Arial" w:hAnsi="Arial" w:cs="Bembo-Italic"/>
          <w:iCs/>
          <w:color w:val="070707"/>
          <w:sz w:val="20"/>
          <w:szCs w:val="28"/>
        </w:rPr>
        <w:t xml:space="preserve"> W.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>, and Springer</w:t>
      </w:r>
      <w:r>
        <w:rPr>
          <w:rFonts w:ascii="Arial" w:hAnsi="Arial" w:cs="Bembo-Italic"/>
          <w:iCs/>
          <w:color w:val="070707"/>
          <w:sz w:val="20"/>
          <w:szCs w:val="28"/>
        </w:rPr>
        <w:t xml:space="preserve"> 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>M</w:t>
      </w:r>
      <w:r>
        <w:rPr>
          <w:rFonts w:ascii="Arial" w:hAnsi="Arial" w:cs="Bembo-Italic"/>
          <w:iCs/>
          <w:color w:val="070707"/>
          <w:sz w:val="20"/>
          <w:szCs w:val="28"/>
        </w:rPr>
        <w:t>.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>F.B.</w:t>
      </w:r>
      <w:r>
        <w:rPr>
          <w:rFonts w:ascii="Arial" w:hAnsi="Arial" w:cs="Bembo-Italic"/>
          <w:iCs/>
          <w:color w:val="070707"/>
          <w:sz w:val="20"/>
          <w:szCs w:val="28"/>
        </w:rPr>
        <w:t xml:space="preserve"> (2002)</w:t>
      </w:r>
      <w:r w:rsidRPr="00F8545D">
        <w:rPr>
          <w:rFonts w:ascii="Arial" w:hAnsi="Arial" w:cs="Bembo-Italic"/>
          <w:iCs/>
          <w:color w:val="070707"/>
          <w:sz w:val="20"/>
          <w:szCs w:val="28"/>
        </w:rPr>
        <w:t xml:space="preserve"> </w:t>
      </w:r>
      <w:r w:rsidRPr="00F8545D">
        <w:rPr>
          <w:rFonts w:ascii="Arial" w:hAnsi="Arial" w:cs="Bembo"/>
          <w:color w:val="070707"/>
          <w:sz w:val="20"/>
          <w:szCs w:val="36"/>
        </w:rPr>
        <w:t>Risk of Possible Exposure to Rabies among Tourists and</w:t>
      </w:r>
      <w:r>
        <w:rPr>
          <w:rFonts w:ascii="Arial" w:hAnsi="Arial" w:cs="Bembo"/>
          <w:color w:val="070707"/>
          <w:sz w:val="20"/>
          <w:szCs w:val="36"/>
        </w:rPr>
        <w:t xml:space="preserve"> </w:t>
      </w:r>
      <w:r w:rsidRPr="00F8545D">
        <w:rPr>
          <w:rFonts w:ascii="Arial" w:hAnsi="Arial" w:cs="Bembo"/>
          <w:color w:val="070707"/>
          <w:sz w:val="20"/>
          <w:szCs w:val="36"/>
        </w:rPr>
        <w:t xml:space="preserve">Foreign Residents in </w:t>
      </w:r>
      <w:smartTag w:uri="urn:schemas-microsoft-com:office:smarttags" w:element="place">
        <w:smartTag w:uri="urn:schemas-microsoft-com:office:smarttags" w:element="country-region">
          <w:r w:rsidRPr="00F8545D">
            <w:rPr>
              <w:rFonts w:ascii="Arial" w:hAnsi="Arial" w:cs="Bembo"/>
              <w:color w:val="070707"/>
              <w:sz w:val="20"/>
              <w:szCs w:val="36"/>
            </w:rPr>
            <w:t>Nepal</w:t>
          </w:r>
        </w:smartTag>
      </w:smartTag>
      <w:r>
        <w:rPr>
          <w:rFonts w:ascii="Arial" w:hAnsi="Arial" w:cs="Bembo"/>
          <w:color w:val="070707"/>
          <w:sz w:val="20"/>
          <w:szCs w:val="36"/>
        </w:rPr>
        <w:t>.</w:t>
      </w:r>
      <w:r w:rsidRPr="00F8545D">
        <w:rPr>
          <w:rFonts w:ascii="Arial" w:hAnsi="Arial" w:cs="Bembo"/>
          <w:color w:val="070707"/>
          <w:sz w:val="20"/>
          <w:szCs w:val="36"/>
        </w:rPr>
        <w:t xml:space="preserve"> </w:t>
      </w:r>
      <w:r w:rsidRPr="00F8545D">
        <w:rPr>
          <w:rFonts w:ascii="Arial" w:hAnsi="Arial" w:cs="Univers-Oblique"/>
          <w:iCs/>
          <w:color w:val="070707"/>
          <w:sz w:val="20"/>
          <w:szCs w:val="15"/>
        </w:rPr>
        <w:t>J</w:t>
      </w:r>
      <w:r>
        <w:rPr>
          <w:rFonts w:ascii="Arial" w:hAnsi="Arial" w:cs="Univers-Oblique"/>
          <w:iCs/>
          <w:color w:val="070707"/>
          <w:sz w:val="20"/>
          <w:szCs w:val="15"/>
        </w:rPr>
        <w:t>.</w:t>
      </w:r>
      <w:r w:rsidRPr="00F8545D">
        <w:rPr>
          <w:rFonts w:ascii="Arial" w:hAnsi="Arial" w:cs="Univers-Oblique"/>
          <w:iCs/>
          <w:color w:val="070707"/>
          <w:sz w:val="20"/>
          <w:szCs w:val="15"/>
        </w:rPr>
        <w:t xml:space="preserve"> Travel Med</w:t>
      </w:r>
      <w:r>
        <w:rPr>
          <w:rFonts w:ascii="Arial" w:hAnsi="Arial" w:cs="Univers-Oblique"/>
          <w:iCs/>
          <w:color w:val="070707"/>
          <w:sz w:val="20"/>
          <w:szCs w:val="15"/>
        </w:rPr>
        <w:t>.</w:t>
      </w:r>
      <w:r w:rsidRPr="00F8545D">
        <w:rPr>
          <w:rFonts w:ascii="Arial" w:hAnsi="Arial" w:cs="Univers"/>
          <w:color w:val="070707"/>
          <w:sz w:val="20"/>
          <w:szCs w:val="15"/>
        </w:rPr>
        <w:t xml:space="preserve"> 9:127–131</w:t>
      </w:r>
      <w:r w:rsidR="000B418D">
        <w:rPr>
          <w:rFonts w:ascii="Arial" w:hAnsi="Arial" w:cs="Univers"/>
          <w:color w:val="070707"/>
          <w:sz w:val="20"/>
          <w:szCs w:val="15"/>
        </w:rPr>
        <w:t xml:space="preserve"> </w:t>
      </w:r>
      <w:hyperlink r:id="rId20" w:history="1">
        <w:r w:rsidR="000B418D" w:rsidRPr="009A6B7D">
          <w:rPr>
            <w:rStyle w:val="Hyperlink"/>
            <w:rFonts w:ascii="Arial" w:hAnsi="Arial" w:cs="Univers"/>
            <w:sz w:val="20"/>
            <w:szCs w:val="15"/>
          </w:rPr>
          <w:t>https://academic.oup.com/jtm/article/9/3/127/1848535</w:t>
        </w:r>
      </w:hyperlink>
      <w:r w:rsidR="000B418D">
        <w:rPr>
          <w:rFonts w:ascii="Arial" w:hAnsi="Arial" w:cs="Univers"/>
          <w:color w:val="070707"/>
          <w:sz w:val="20"/>
          <w:szCs w:val="15"/>
        </w:rPr>
        <w:t xml:space="preserve"> </w:t>
      </w:r>
    </w:p>
    <w:p w:rsidR="00951324" w:rsidRDefault="00951324" w:rsidP="00951324">
      <w:pPr>
        <w:spacing w:after="0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 xml:space="preserve">Study on rabies vaccine administered to infants at 2 and 4 months of age </w:t>
      </w:r>
      <w:hyperlink r:id="rId21" w:history="1">
        <w:r w:rsidRPr="00041FDB">
          <w:rPr>
            <w:rStyle w:val="Hyperlink"/>
            <w:rFonts w:ascii="Arial" w:hAnsi="Arial" w:cs="Arial"/>
            <w:sz w:val="20"/>
            <w:szCs w:val="20"/>
          </w:rPr>
          <w:t>https://www.sciencedirect.com/science/article/pii/S0140673696100854</w:t>
        </w:r>
      </w:hyperlink>
      <w:r w:rsidRPr="00041FDB">
        <w:rPr>
          <w:rFonts w:ascii="Arial" w:hAnsi="Arial" w:cs="Arial"/>
          <w:sz w:val="20"/>
          <w:szCs w:val="20"/>
        </w:rPr>
        <w:t xml:space="preserve"> </w:t>
      </w:r>
    </w:p>
    <w:p w:rsidR="00951324" w:rsidRPr="00041FDB" w:rsidRDefault="00951324" w:rsidP="00951324">
      <w:pPr>
        <w:spacing w:after="0"/>
        <w:rPr>
          <w:rFonts w:ascii="Arial" w:hAnsi="Arial" w:cs="Arial"/>
          <w:sz w:val="20"/>
          <w:szCs w:val="20"/>
        </w:rPr>
      </w:pPr>
    </w:p>
    <w:p w:rsidR="00F314C0" w:rsidRPr="00041FDB" w:rsidRDefault="00F314C0" w:rsidP="00F314C0">
      <w:pPr>
        <w:spacing w:after="0"/>
        <w:rPr>
          <w:rFonts w:ascii="Arial" w:hAnsi="Arial" w:cs="Arial"/>
          <w:b/>
          <w:sz w:val="20"/>
          <w:szCs w:val="20"/>
        </w:rPr>
      </w:pPr>
      <w:r w:rsidRPr="00C342B8">
        <w:rPr>
          <w:rFonts w:ascii="Arial" w:hAnsi="Arial" w:cs="Arial"/>
          <w:b/>
          <w:sz w:val="20"/>
          <w:szCs w:val="20"/>
          <w:u w:val="single"/>
        </w:rPr>
        <w:t xml:space="preserve">Typhoid </w:t>
      </w:r>
    </w:p>
    <w:p w:rsidR="006C4FA7" w:rsidRDefault="006C4FA7" w:rsidP="00F314C0">
      <w:pPr>
        <w:spacing w:after="0"/>
        <w:rPr>
          <w:rFonts w:ascii="Arial" w:hAnsi="Arial" w:cs="Arial"/>
          <w:sz w:val="20"/>
          <w:szCs w:val="20"/>
        </w:rPr>
      </w:pPr>
    </w:p>
    <w:p w:rsidR="00A40F99" w:rsidRPr="00041FDB" w:rsidRDefault="00A40F99" w:rsidP="00F314C0">
      <w:pPr>
        <w:spacing w:after="0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 xml:space="preserve">WHO Position paper March 2018: </w:t>
      </w:r>
      <w:hyperlink r:id="rId22" w:history="1">
        <w:r w:rsidRPr="00041FDB">
          <w:rPr>
            <w:rStyle w:val="Hyperlink"/>
            <w:rFonts w:ascii="Arial" w:hAnsi="Arial" w:cs="Arial"/>
            <w:sz w:val="20"/>
            <w:szCs w:val="20"/>
          </w:rPr>
          <w:t>http://apps.who.int/iris/bitstream/handle/10665/272272/WER9313.pdf?ua=1</w:t>
        </w:r>
      </w:hyperlink>
      <w:r w:rsidRPr="00041FDB">
        <w:rPr>
          <w:rFonts w:ascii="Arial" w:hAnsi="Arial" w:cs="Arial"/>
          <w:sz w:val="20"/>
          <w:szCs w:val="20"/>
        </w:rPr>
        <w:t xml:space="preserve"> </w:t>
      </w:r>
    </w:p>
    <w:p w:rsidR="00A40F99" w:rsidRPr="00041FDB" w:rsidRDefault="00A40F99" w:rsidP="00F314C0">
      <w:pPr>
        <w:spacing w:after="0"/>
        <w:rPr>
          <w:rFonts w:ascii="Arial" w:hAnsi="Arial" w:cs="Arial"/>
          <w:sz w:val="20"/>
          <w:szCs w:val="20"/>
        </w:rPr>
      </w:pPr>
    </w:p>
    <w:p w:rsidR="006A5025" w:rsidRPr="00041FDB" w:rsidRDefault="00A40F99" w:rsidP="00A40F9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“Children are disproportionately affected by typhoid fever, with peak incidence long known to occur in individuals aged 5 to &lt;15 years of age.”</w:t>
      </w:r>
      <w:r w:rsidR="002C05C5"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</w:t>
      </w:r>
    </w:p>
    <w:p w:rsidR="00FD2CA5" w:rsidRDefault="006A37A2" w:rsidP="006A502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“Case </w:t>
      </w:r>
      <w:r w:rsidR="006A5025"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fatality rates in children aged &lt;4 years have been reported in one study to be 10 times higher than in older children (4.0% vs 0.4%).</w:t>
      </w:r>
      <w:r w:rsidR="006A5025" w:rsidRPr="000B418D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en-GB"/>
        </w:rPr>
        <w:t>18</w:t>
      </w: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”</w:t>
      </w:r>
    </w:p>
    <w:p w:rsidR="006C4FA7" w:rsidRPr="00041FDB" w:rsidRDefault="006C4FA7" w:rsidP="006A502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FD2CA5" w:rsidRPr="00041FDB" w:rsidRDefault="00FD2CA5" w:rsidP="00FD2CA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“Antimicrobial resistance in typhoid fever leads to an increased proportion of patients experiencing clinical treatment failure and complications,” </w:t>
      </w:r>
    </w:p>
    <w:p w:rsidR="00FD2CA5" w:rsidRPr="00041FDB" w:rsidRDefault="00FD2CA5" w:rsidP="006A502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:rsidR="00FD2CA5" w:rsidRPr="00041FDB" w:rsidRDefault="00FD2CA5" w:rsidP="00FD2CA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041FDB">
        <w:rPr>
          <w:rFonts w:ascii="Arial" w:eastAsia="Times New Roman" w:hAnsi="Arial" w:cs="Arial"/>
          <w:sz w:val="20"/>
          <w:szCs w:val="20"/>
          <w:lang w:val="en-GB" w:eastAsia="en-GB"/>
        </w:rPr>
        <w:t>Newer generation Typhoid conjugate vaccine</w:t>
      </w:r>
      <w:r w:rsidR="002C05C5" w:rsidRPr="00041FDB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Pr="00041FD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are currently licensed in some countries</w:t>
      </w:r>
      <w:r w:rsidR="00D24665" w:rsidRPr="00041FD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(some can be administered to infants from 6 months see WHO position paper</w:t>
      </w:r>
      <w:r w:rsidR="006C4FA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– link above</w:t>
      </w:r>
      <w:r w:rsidR="00D24665" w:rsidRPr="00041FDB">
        <w:rPr>
          <w:rFonts w:ascii="Arial" w:eastAsia="Times New Roman" w:hAnsi="Arial" w:cs="Arial"/>
          <w:sz w:val="20"/>
          <w:szCs w:val="20"/>
          <w:lang w:val="en-GB" w:eastAsia="en-GB"/>
        </w:rPr>
        <w:t>)</w:t>
      </w:r>
      <w:r w:rsidRPr="00041FDB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:rsidR="00D36A21" w:rsidRPr="00041FDB" w:rsidRDefault="00D36A21" w:rsidP="00D36A2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D36A21" w:rsidRPr="00041FDB" w:rsidRDefault="00D36A21" w:rsidP="00D36A2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“In infants aged 6–11 months and children aged 12–23 months, a single dose of </w:t>
      </w:r>
      <w:proofErr w:type="spellStart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Typbar</w:t>
      </w:r>
      <w:proofErr w:type="spellEnd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-TCV elicited high titres of </w:t>
      </w:r>
      <w:proofErr w:type="spellStart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IgG</w:t>
      </w:r>
      <w:proofErr w:type="spellEnd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anti-Vi antibody (1937.4 [95% CI: 1785.0–2102.9, N=307]) that persisted up to 5 years in approximately 84% of children. Anti-Vi antibodies elicited by the TCV also exhibited higher avidity than anti-Vi antibodies stimulated by the unconjugated </w:t>
      </w:r>
      <w:proofErr w:type="spellStart"/>
      <w:proofErr w:type="gramStart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>ViPS</w:t>
      </w:r>
      <w:proofErr w:type="spellEnd"/>
      <w:proofErr w:type="gramEnd"/>
      <w:r w:rsidRPr="00041FDB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.” </w:t>
      </w:r>
    </w:p>
    <w:p w:rsidR="00D36A21" w:rsidRPr="00041FDB" w:rsidRDefault="00D36A21" w:rsidP="00FD2CA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F314C0" w:rsidRPr="00041FDB" w:rsidRDefault="00F314C0" w:rsidP="00F314C0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41FDB">
        <w:rPr>
          <w:rFonts w:ascii="Arial" w:hAnsi="Arial" w:cs="Arial"/>
          <w:sz w:val="20"/>
          <w:szCs w:val="20"/>
        </w:rPr>
        <w:t>Vi</w:t>
      </w:r>
      <w:proofErr w:type="gramEnd"/>
      <w:r w:rsidRPr="00041FDB">
        <w:rPr>
          <w:rFonts w:ascii="Arial" w:hAnsi="Arial" w:cs="Arial"/>
          <w:sz w:val="20"/>
          <w:szCs w:val="20"/>
        </w:rPr>
        <w:t xml:space="preserve"> capsular polysaccharide – injectable 0.5ml IM (&gt; 2yr – </w:t>
      </w:r>
      <w:r w:rsidR="006C4FA7">
        <w:rPr>
          <w:rFonts w:ascii="Arial" w:hAnsi="Arial" w:cs="Arial"/>
          <w:sz w:val="20"/>
          <w:szCs w:val="20"/>
        </w:rPr>
        <w:t xml:space="preserve">in USA guidelines </w:t>
      </w:r>
      <w:r w:rsidRPr="00041FDB">
        <w:rPr>
          <w:rFonts w:ascii="Arial" w:hAnsi="Arial" w:cs="Arial"/>
          <w:sz w:val="20"/>
          <w:szCs w:val="20"/>
        </w:rPr>
        <w:t>repeat in 2yr)</w:t>
      </w:r>
    </w:p>
    <w:p w:rsidR="00BA6AB3" w:rsidRPr="00041FDB" w:rsidRDefault="00BA6AB3" w:rsidP="00F314C0">
      <w:pPr>
        <w:spacing w:after="0"/>
        <w:rPr>
          <w:rFonts w:ascii="Arial" w:hAnsi="Arial" w:cs="Arial"/>
          <w:sz w:val="20"/>
          <w:szCs w:val="20"/>
        </w:rPr>
      </w:pPr>
    </w:p>
    <w:p w:rsidR="00BA6AB3" w:rsidRPr="00041FDB" w:rsidRDefault="00BA6AB3" w:rsidP="009436A4">
      <w:pPr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>In UK can be used off license in children from 1 year of age, licensed for children from 2 years of age repeat at 3 years if at continued risk.</w:t>
      </w:r>
      <w:r w:rsidR="009436A4">
        <w:rPr>
          <w:rFonts w:ascii="Arial" w:hAnsi="Arial" w:cs="Arial"/>
          <w:sz w:val="20"/>
          <w:szCs w:val="20"/>
        </w:rPr>
        <w:t xml:space="preserve"> </w:t>
      </w:r>
      <w:r w:rsidR="009436A4" w:rsidRPr="009436A4">
        <w:rPr>
          <w:rFonts w:ascii="Arial" w:eastAsia="Times New Roman" w:hAnsi="Arial" w:cs="Arial"/>
          <w:sz w:val="20"/>
          <w:szCs w:val="20"/>
          <w:lang w:val="en-GB" w:eastAsia="en-GB"/>
        </w:rPr>
        <w:t>Young children may show a sub-optimal response to polysaccharide antigen vaccines.</w:t>
      </w:r>
      <w:r w:rsidR="009436A4" w:rsidRPr="009436A4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</w:t>
      </w:r>
      <w:hyperlink r:id="rId23" w:history="1">
        <w:r w:rsidRPr="00041FDB">
          <w:rPr>
            <w:rStyle w:val="Hyperlink"/>
            <w:rFonts w:ascii="Arial" w:hAnsi="Arial" w:cs="Arial"/>
            <w:sz w:val="20"/>
            <w:szCs w:val="20"/>
          </w:rPr>
          <w:t>https://www.gov.uk/government/publications/typhoid-the-green-book-chapter-33</w:t>
        </w:r>
      </w:hyperlink>
      <w:r w:rsidRPr="00041FDB">
        <w:rPr>
          <w:rFonts w:ascii="Arial" w:hAnsi="Arial" w:cs="Arial"/>
          <w:sz w:val="20"/>
          <w:szCs w:val="20"/>
        </w:rPr>
        <w:t xml:space="preserve"> </w:t>
      </w:r>
    </w:p>
    <w:p w:rsidR="00BA6AB3" w:rsidRPr="00041FDB" w:rsidRDefault="00BA6AB3" w:rsidP="00F314C0">
      <w:pPr>
        <w:spacing w:after="0"/>
        <w:rPr>
          <w:rFonts w:ascii="Arial" w:hAnsi="Arial" w:cs="Arial"/>
          <w:sz w:val="20"/>
          <w:szCs w:val="20"/>
        </w:rPr>
      </w:pPr>
    </w:p>
    <w:p w:rsidR="00F314C0" w:rsidRPr="00041FDB" w:rsidRDefault="00F314C0" w:rsidP="00F314C0">
      <w:pPr>
        <w:spacing w:after="0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 xml:space="preserve">Oral live-attenuated Ty21a – 1 capsule (D 0, 2, 4, 6) </w:t>
      </w:r>
      <w:r w:rsidR="002B055B" w:rsidRPr="00041FDB">
        <w:rPr>
          <w:rFonts w:ascii="Arial" w:hAnsi="Arial" w:cs="Arial"/>
          <w:sz w:val="20"/>
          <w:szCs w:val="20"/>
        </w:rPr>
        <w:t xml:space="preserve">&gt; 6y – </w:t>
      </w:r>
      <w:r w:rsidR="006C4FA7">
        <w:rPr>
          <w:rFonts w:ascii="Arial" w:hAnsi="Arial" w:cs="Arial"/>
          <w:sz w:val="20"/>
          <w:szCs w:val="20"/>
        </w:rPr>
        <w:t xml:space="preserve">in USA guidelines </w:t>
      </w:r>
      <w:r w:rsidR="002B055B" w:rsidRPr="00041FDB">
        <w:rPr>
          <w:rFonts w:ascii="Arial" w:hAnsi="Arial" w:cs="Arial"/>
          <w:sz w:val="20"/>
          <w:szCs w:val="20"/>
        </w:rPr>
        <w:t>repeat in 5yr</w:t>
      </w:r>
    </w:p>
    <w:p w:rsidR="002B055B" w:rsidRPr="00041FDB" w:rsidRDefault="007E3D40" w:rsidP="00F314C0">
      <w:pPr>
        <w:spacing w:after="0"/>
        <w:rPr>
          <w:rFonts w:ascii="Arial" w:hAnsi="Arial" w:cs="Arial"/>
          <w:sz w:val="20"/>
          <w:szCs w:val="20"/>
        </w:rPr>
      </w:pPr>
      <w:hyperlink r:id="rId24" w:history="1">
        <w:r w:rsidR="002B055B" w:rsidRPr="00041FDB">
          <w:rPr>
            <w:rStyle w:val="Hyperlink"/>
            <w:rFonts w:ascii="Arial" w:hAnsi="Arial" w:cs="Arial"/>
            <w:sz w:val="20"/>
            <w:szCs w:val="20"/>
          </w:rPr>
          <w:t>https://www.cdc.gov/mmwr/preview/mmwrhtml/mm6411a4.htm</w:t>
        </w:r>
      </w:hyperlink>
      <w:r w:rsidR="002B055B" w:rsidRPr="00041FDB">
        <w:rPr>
          <w:rFonts w:ascii="Arial" w:hAnsi="Arial" w:cs="Arial"/>
          <w:sz w:val="20"/>
          <w:szCs w:val="20"/>
        </w:rPr>
        <w:t xml:space="preserve"> (MMWR 2015)</w:t>
      </w:r>
    </w:p>
    <w:p w:rsidR="00BA6AB3" w:rsidRPr="00041FDB" w:rsidRDefault="00BA6AB3" w:rsidP="00F314C0">
      <w:pPr>
        <w:spacing w:after="0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 xml:space="preserve">In </w:t>
      </w:r>
      <w:r w:rsidR="00D24665" w:rsidRPr="00041FDB">
        <w:rPr>
          <w:rFonts w:ascii="Arial" w:hAnsi="Arial" w:cs="Arial"/>
          <w:sz w:val="20"/>
          <w:szCs w:val="20"/>
        </w:rPr>
        <w:t>Europe</w:t>
      </w:r>
      <w:r w:rsidRPr="00041FDB">
        <w:rPr>
          <w:rFonts w:ascii="Arial" w:hAnsi="Arial" w:cs="Arial"/>
          <w:sz w:val="20"/>
          <w:szCs w:val="20"/>
        </w:rPr>
        <w:t xml:space="preserve"> a 3 dose course is used for children from 6 years of age, </w:t>
      </w:r>
      <w:r w:rsidR="00D24665" w:rsidRPr="00041FDB">
        <w:rPr>
          <w:rFonts w:ascii="Arial" w:hAnsi="Arial" w:cs="Arial"/>
          <w:sz w:val="20"/>
          <w:szCs w:val="20"/>
        </w:rPr>
        <w:t xml:space="preserve">(UK </w:t>
      </w:r>
      <w:r w:rsidRPr="00041FDB">
        <w:rPr>
          <w:rFonts w:ascii="Arial" w:hAnsi="Arial" w:cs="Arial"/>
          <w:sz w:val="20"/>
          <w:szCs w:val="20"/>
        </w:rPr>
        <w:t xml:space="preserve">boost </w:t>
      </w:r>
      <w:r w:rsidR="00D24665" w:rsidRPr="00041FDB">
        <w:rPr>
          <w:rFonts w:ascii="Arial" w:hAnsi="Arial" w:cs="Arial"/>
          <w:sz w:val="20"/>
          <w:szCs w:val="20"/>
        </w:rPr>
        <w:t>at 3 years if at continued risk</w:t>
      </w:r>
      <w:r w:rsidR="000B418D">
        <w:rPr>
          <w:rFonts w:ascii="Arial" w:hAnsi="Arial" w:cs="Arial"/>
          <w:sz w:val="20"/>
          <w:szCs w:val="20"/>
        </w:rPr>
        <w:t>, check national guidelines</w:t>
      </w:r>
      <w:r w:rsidR="00D24665" w:rsidRPr="00041FDB">
        <w:rPr>
          <w:rFonts w:ascii="Arial" w:hAnsi="Arial" w:cs="Arial"/>
          <w:sz w:val="20"/>
          <w:szCs w:val="20"/>
        </w:rPr>
        <w:t>).</w:t>
      </w:r>
    </w:p>
    <w:p w:rsidR="002B055B" w:rsidRPr="00041FDB" w:rsidRDefault="002B055B" w:rsidP="00F314C0">
      <w:pPr>
        <w:spacing w:after="0"/>
        <w:rPr>
          <w:rFonts w:ascii="Arial" w:hAnsi="Arial" w:cs="Arial"/>
          <w:sz w:val="20"/>
          <w:szCs w:val="20"/>
        </w:rPr>
      </w:pPr>
    </w:p>
    <w:p w:rsidR="008B69CF" w:rsidRDefault="008B69C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2B055B" w:rsidRPr="002F26BD" w:rsidRDefault="002B055B" w:rsidP="00F314C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F26BD">
        <w:rPr>
          <w:rFonts w:ascii="Arial" w:hAnsi="Arial" w:cs="Arial"/>
          <w:b/>
          <w:sz w:val="20"/>
          <w:szCs w:val="20"/>
          <w:u w:val="single"/>
        </w:rPr>
        <w:lastRenderedPageBreak/>
        <w:t>Yellow Fever</w:t>
      </w:r>
    </w:p>
    <w:p w:rsidR="00736BCB" w:rsidRPr="00041FDB" w:rsidRDefault="00736BCB" w:rsidP="00F314C0">
      <w:pPr>
        <w:spacing w:after="0"/>
        <w:rPr>
          <w:rFonts w:ascii="Arial" w:hAnsi="Arial" w:cs="Arial"/>
          <w:sz w:val="20"/>
          <w:szCs w:val="20"/>
        </w:rPr>
      </w:pPr>
      <w:r w:rsidRPr="00041FDB">
        <w:rPr>
          <w:rFonts w:ascii="Arial" w:hAnsi="Arial" w:cs="Arial"/>
          <w:sz w:val="20"/>
          <w:szCs w:val="20"/>
        </w:rPr>
        <w:t>Vaccine is not recommended for India</w:t>
      </w:r>
      <w:r w:rsidR="002F26BD">
        <w:rPr>
          <w:rFonts w:ascii="Arial" w:hAnsi="Arial" w:cs="Arial"/>
          <w:sz w:val="20"/>
          <w:szCs w:val="20"/>
        </w:rPr>
        <w:t xml:space="preserve"> (unless </w:t>
      </w:r>
      <w:r w:rsidR="000B418D">
        <w:rPr>
          <w:rFonts w:ascii="Arial" w:hAnsi="Arial" w:cs="Arial"/>
          <w:sz w:val="20"/>
          <w:szCs w:val="20"/>
        </w:rPr>
        <w:t xml:space="preserve">a certificate requirement when </w:t>
      </w:r>
      <w:r w:rsidR="002F26BD">
        <w:rPr>
          <w:rFonts w:ascii="Arial" w:hAnsi="Arial" w:cs="Arial"/>
          <w:sz w:val="20"/>
          <w:szCs w:val="20"/>
        </w:rPr>
        <w:t>travelling in from a country with YF risk). N</w:t>
      </w:r>
      <w:r w:rsidRPr="00041FDB">
        <w:rPr>
          <w:rFonts w:ascii="Arial" w:hAnsi="Arial" w:cs="Arial"/>
          <w:sz w:val="20"/>
          <w:szCs w:val="20"/>
        </w:rPr>
        <w:t xml:space="preserve">o cases reported in Asia but some useful information here on the disease and vaccine. </w:t>
      </w:r>
    </w:p>
    <w:p w:rsidR="006C4FA7" w:rsidRPr="00041FDB" w:rsidRDefault="007E3D40" w:rsidP="006C4FA7">
      <w:pPr>
        <w:spacing w:after="0"/>
        <w:rPr>
          <w:rFonts w:ascii="Arial" w:hAnsi="Arial" w:cs="Arial"/>
          <w:sz w:val="20"/>
          <w:szCs w:val="20"/>
        </w:rPr>
      </w:pPr>
      <w:hyperlink r:id="rId25" w:history="1">
        <w:r w:rsidR="002B055B" w:rsidRPr="00041FDB">
          <w:rPr>
            <w:rStyle w:val="Hyperlink"/>
            <w:rFonts w:ascii="Arial" w:hAnsi="Arial" w:cs="Arial"/>
            <w:sz w:val="20"/>
            <w:szCs w:val="20"/>
          </w:rPr>
          <w:t>https://www.cdc.gov/mmwr/preview/mmwrhtml/rr5907a1.htm</w:t>
        </w:r>
      </w:hyperlink>
      <w:r w:rsidR="006C4FA7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6C4FA7">
        <w:rPr>
          <w:rFonts w:ascii="Arial" w:hAnsi="Arial" w:cs="Arial"/>
          <w:sz w:val="20"/>
          <w:szCs w:val="20"/>
        </w:rPr>
        <w:t xml:space="preserve">Note the </w:t>
      </w:r>
      <w:r w:rsidR="006C4FA7" w:rsidRPr="00041FDB">
        <w:rPr>
          <w:rFonts w:ascii="Arial" w:hAnsi="Arial" w:cs="Arial"/>
          <w:sz w:val="20"/>
          <w:szCs w:val="20"/>
        </w:rPr>
        <w:t>information about International Health Regulations is out of date; countries should no longer require booster doses of vaccine for certificate purposes.</w:t>
      </w:r>
    </w:p>
    <w:p w:rsidR="002B055B" w:rsidRPr="00041FDB" w:rsidRDefault="002B055B" w:rsidP="002B055B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:rsidR="00DB11F9" w:rsidRPr="006E0762" w:rsidRDefault="00DB11F9" w:rsidP="00DB11F9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Malaria</w:t>
      </w:r>
    </w:p>
    <w:p w:rsidR="00DB11F9" w:rsidRPr="000B418D" w:rsidRDefault="00DB11F9" w:rsidP="00DB11F9">
      <w:pPr>
        <w:rPr>
          <w:rFonts w:ascii="Arial" w:hAnsi="Arial" w:cs="Arial"/>
          <w:sz w:val="20"/>
          <w:szCs w:val="20"/>
        </w:rPr>
      </w:pPr>
      <w:r w:rsidRPr="009224EF">
        <w:rPr>
          <w:rFonts w:ascii="Arial" w:hAnsi="Arial" w:cs="Arial"/>
          <w:sz w:val="20"/>
          <w:szCs w:val="20"/>
        </w:rPr>
        <w:t>US</w:t>
      </w:r>
      <w:r w:rsidR="00CB6C4B">
        <w:rPr>
          <w:rFonts w:ascii="Arial" w:hAnsi="Arial" w:cs="Arial"/>
          <w:sz w:val="20"/>
          <w:szCs w:val="20"/>
        </w:rPr>
        <w:t>A</w:t>
      </w:r>
      <w:r w:rsidRPr="009224EF">
        <w:rPr>
          <w:rFonts w:ascii="Arial" w:hAnsi="Arial" w:cs="Arial"/>
          <w:sz w:val="20"/>
          <w:szCs w:val="20"/>
        </w:rPr>
        <w:t xml:space="preserve"> CDC guidance on antimalarial dose per body weight</w:t>
      </w:r>
      <w:r w:rsidR="009224EF" w:rsidRPr="009224EF">
        <w:rPr>
          <w:rFonts w:ascii="Arial" w:hAnsi="Arial" w:cs="Arial"/>
          <w:sz w:val="20"/>
          <w:szCs w:val="20"/>
        </w:rPr>
        <w:t xml:space="preserve"> for children</w:t>
      </w:r>
      <w:r w:rsidRPr="009224EF">
        <w:rPr>
          <w:rFonts w:ascii="Arial" w:hAnsi="Arial" w:cs="Arial"/>
          <w:sz w:val="20"/>
          <w:szCs w:val="20"/>
        </w:rPr>
        <w:t xml:space="preserve">: </w:t>
      </w:r>
      <w:hyperlink r:id="rId26" w:anchor="5217" w:history="1">
        <w:r w:rsidRPr="000B418D">
          <w:rPr>
            <w:rStyle w:val="Hyperlink"/>
            <w:rFonts w:ascii="Arial" w:hAnsi="Arial" w:cs="Arial"/>
            <w:sz w:val="20"/>
            <w:szCs w:val="20"/>
          </w:rPr>
          <w:t>https://wwwnc.cdc.gov/travel/yellowbook/2018/infectious-diseases-related-to-travel/malaria#5217</w:t>
        </w:r>
      </w:hyperlink>
      <w:r w:rsidRPr="000B418D">
        <w:rPr>
          <w:rFonts w:ascii="Arial" w:hAnsi="Arial" w:cs="Arial"/>
          <w:sz w:val="20"/>
          <w:szCs w:val="20"/>
        </w:rPr>
        <w:t xml:space="preserve"> </w:t>
      </w:r>
    </w:p>
    <w:p w:rsidR="00A606AE" w:rsidRPr="00041FDB" w:rsidRDefault="00A606AE" w:rsidP="002B055B">
      <w:pPr>
        <w:spacing w:after="0"/>
        <w:rPr>
          <w:rFonts w:ascii="Arial" w:hAnsi="Arial" w:cs="Arial"/>
          <w:sz w:val="20"/>
          <w:szCs w:val="20"/>
        </w:rPr>
      </w:pPr>
    </w:p>
    <w:p w:rsidR="002B055B" w:rsidRPr="00041FDB" w:rsidRDefault="009224EF" w:rsidP="002B05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 </w:t>
      </w:r>
      <w:proofErr w:type="spellStart"/>
      <w:r>
        <w:rPr>
          <w:rFonts w:ascii="Arial" w:hAnsi="Arial" w:cs="Arial"/>
          <w:sz w:val="20"/>
          <w:szCs w:val="20"/>
        </w:rPr>
        <w:t>NaTHNaC</w:t>
      </w:r>
      <w:proofErr w:type="spellEnd"/>
      <w:r>
        <w:rPr>
          <w:rFonts w:ascii="Arial" w:hAnsi="Arial" w:cs="Arial"/>
          <w:sz w:val="20"/>
          <w:szCs w:val="20"/>
        </w:rPr>
        <w:t xml:space="preserve"> leaflet for antimalarial dose calculation based on Public Health England Advisory Committee on </w:t>
      </w:r>
      <w:r w:rsidR="000B41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alaria </w:t>
      </w:r>
      <w:r w:rsidR="000B418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revention 2017 </w:t>
      </w:r>
      <w:hyperlink r:id="rId27" w:history="1">
        <w:r w:rsidRPr="00A55949">
          <w:rPr>
            <w:rStyle w:val="Hyperlink"/>
            <w:rFonts w:ascii="Arial" w:hAnsi="Arial" w:cs="Arial"/>
            <w:sz w:val="20"/>
            <w:szCs w:val="20"/>
          </w:rPr>
          <w:t>https://travelhealthpro.org.uk/admin/web/uploads/Childrens-antimalarial-dosage-tables.pdf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B055B" w:rsidRDefault="002B055B" w:rsidP="00F314C0">
      <w:pPr>
        <w:spacing w:after="0"/>
        <w:rPr>
          <w:rFonts w:ascii="Arial" w:hAnsi="Arial" w:cs="Arial"/>
          <w:sz w:val="20"/>
          <w:szCs w:val="20"/>
        </w:rPr>
      </w:pPr>
    </w:p>
    <w:p w:rsidR="00C7302D" w:rsidRPr="006E0762" w:rsidRDefault="00C90542" w:rsidP="00C7302D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  <w:proofErr w:type="spellStart"/>
      <w:r w:rsidRP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Travellers’</w:t>
      </w:r>
      <w:proofErr w:type="spellEnd"/>
      <w:r w:rsidRP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 xml:space="preserve"> </w:t>
      </w:r>
      <w:proofErr w:type="spellStart"/>
      <w:r w:rsidRP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diarrhoea</w:t>
      </w:r>
      <w:proofErr w:type="spellEnd"/>
      <w:r w:rsidRP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 xml:space="preserve"> management</w:t>
      </w:r>
    </w:p>
    <w:p w:rsidR="00E27EEA" w:rsidRDefault="006E0762" w:rsidP="007C52C9">
      <w:pPr>
        <w:pStyle w:val="Heading1"/>
        <w:rPr>
          <w:rFonts w:ascii="Arial" w:hAnsi="Arial" w:cs="Arial"/>
          <w:b w:val="0"/>
          <w:color w:val="auto"/>
          <w:sz w:val="20"/>
          <w:szCs w:val="20"/>
        </w:rPr>
      </w:pPr>
      <w:r w:rsidRPr="006E0762">
        <w:rPr>
          <w:rFonts w:ascii="Arial" w:hAnsi="Arial" w:cs="Arial"/>
          <w:b w:val="0"/>
          <w:color w:val="auto"/>
          <w:sz w:val="20"/>
          <w:szCs w:val="20"/>
        </w:rPr>
        <w:t>Guidelines for the prevention and treatment of travelers’ diarrhea: a graded expert panel report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, 2017 </w:t>
      </w:r>
      <w:hyperlink r:id="rId28" w:history="1">
        <w:r w:rsidRPr="009A6B7D">
          <w:rPr>
            <w:rStyle w:val="Hyperlink"/>
            <w:rFonts w:ascii="Arial" w:hAnsi="Arial" w:cs="Arial"/>
            <w:b w:val="0"/>
            <w:sz w:val="20"/>
            <w:szCs w:val="20"/>
          </w:rPr>
          <w:t>https://academic.oup.com/jtm/article/24/suppl_1/S63/3782742</w:t>
        </w:r>
      </w:hyperlink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307E8F" w:rsidRDefault="00307E8F" w:rsidP="006E0762">
      <w:pPr>
        <w:rPr>
          <w:rFonts w:ascii="Arial" w:hAnsi="Arial" w:cs="Arial"/>
          <w:sz w:val="20"/>
          <w:szCs w:val="20"/>
        </w:rPr>
      </w:pPr>
    </w:p>
    <w:p w:rsidR="00E27EEA" w:rsidRPr="007C52C9" w:rsidRDefault="00E27EEA" w:rsidP="006E0762">
      <w:pPr>
        <w:rPr>
          <w:rFonts w:ascii="Arial" w:hAnsi="Arial" w:cs="Arial"/>
          <w:sz w:val="20"/>
          <w:szCs w:val="20"/>
        </w:rPr>
      </w:pPr>
      <w:r w:rsidRPr="007C52C9">
        <w:rPr>
          <w:rFonts w:ascii="Arial" w:hAnsi="Arial" w:cs="Arial"/>
          <w:sz w:val="20"/>
          <w:szCs w:val="20"/>
        </w:rPr>
        <w:t xml:space="preserve">Bismuth Subsalicylate not recommended for children under 16 years of age: </w:t>
      </w:r>
      <w:hyperlink r:id="rId29" w:history="1">
        <w:r w:rsidRPr="007C52C9">
          <w:rPr>
            <w:rStyle w:val="Hyperlink"/>
            <w:rFonts w:ascii="Arial" w:hAnsi="Arial" w:cs="Arial"/>
            <w:sz w:val="20"/>
            <w:szCs w:val="20"/>
          </w:rPr>
          <w:t>https://www.medicines.org.uk/emc/search?q=%22bismuth+subsalicylate%22</w:t>
        </w:r>
      </w:hyperlink>
      <w:r w:rsidRPr="007C52C9">
        <w:rPr>
          <w:rFonts w:ascii="Arial" w:hAnsi="Arial" w:cs="Arial"/>
          <w:sz w:val="20"/>
          <w:szCs w:val="20"/>
        </w:rPr>
        <w:t xml:space="preserve"> </w:t>
      </w:r>
    </w:p>
    <w:p w:rsidR="003A65BB" w:rsidRPr="006E0762" w:rsidRDefault="003A65BB" w:rsidP="003A65BB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 xml:space="preserve">General </w:t>
      </w:r>
      <w:r w:rsid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g</w:t>
      </w:r>
      <w:r w:rsidRPr="006E0762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uidance</w:t>
      </w:r>
    </w:p>
    <w:p w:rsidR="003A65BB" w:rsidRDefault="003A65BB" w:rsidP="006C3D23">
      <w:pPr>
        <w:spacing w:after="0"/>
        <w:rPr>
          <w:rFonts w:ascii="Arial" w:hAnsi="Arial" w:cs="Arial"/>
          <w:sz w:val="20"/>
          <w:szCs w:val="20"/>
          <w:highlight w:val="lightGray"/>
        </w:rPr>
      </w:pPr>
    </w:p>
    <w:p w:rsidR="003A65BB" w:rsidRDefault="006C3D23" w:rsidP="00F314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</w:t>
      </w:r>
      <w:r w:rsidR="00CB6C4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CDC yellow book chapter on international travel with infants and children</w:t>
      </w:r>
      <w:r w:rsidR="003A65BB">
        <w:rPr>
          <w:rFonts w:ascii="Arial" w:hAnsi="Arial" w:cs="Arial"/>
          <w:sz w:val="20"/>
          <w:szCs w:val="20"/>
        </w:rPr>
        <w:t>:</w:t>
      </w:r>
    </w:p>
    <w:p w:rsidR="006C3D23" w:rsidRPr="00041FDB" w:rsidRDefault="007E3D40" w:rsidP="00F314C0">
      <w:pPr>
        <w:spacing w:after="0"/>
        <w:rPr>
          <w:rFonts w:ascii="Arial" w:hAnsi="Arial" w:cs="Arial"/>
          <w:sz w:val="20"/>
          <w:szCs w:val="20"/>
        </w:rPr>
      </w:pPr>
      <w:hyperlink r:id="rId30" w:history="1">
        <w:r w:rsidR="006C3D23" w:rsidRPr="00A55949">
          <w:rPr>
            <w:rStyle w:val="Hyperlink"/>
            <w:rFonts w:ascii="Arial" w:hAnsi="Arial" w:cs="Arial"/>
            <w:sz w:val="20"/>
            <w:szCs w:val="20"/>
          </w:rPr>
          <w:t>https://wwwnc.cdc.gov/travel/yellowbook/2018/international-travel-with-infants-children/traveling-safely-with-infants-children</w:t>
        </w:r>
      </w:hyperlink>
      <w:r w:rsidR="006C3D23">
        <w:rPr>
          <w:rFonts w:ascii="Arial" w:hAnsi="Arial" w:cs="Arial"/>
          <w:sz w:val="20"/>
          <w:szCs w:val="20"/>
        </w:rPr>
        <w:t xml:space="preserve"> </w:t>
      </w:r>
    </w:p>
    <w:sectPr w:rsidR="006C3D23" w:rsidRPr="00041FDB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40" w:rsidRDefault="007E3D40" w:rsidP="00307E8F">
      <w:pPr>
        <w:spacing w:after="0" w:line="240" w:lineRule="auto"/>
      </w:pPr>
      <w:r>
        <w:separator/>
      </w:r>
    </w:p>
  </w:endnote>
  <w:endnote w:type="continuationSeparator" w:id="0">
    <w:p w:rsidR="007E3D40" w:rsidRDefault="007E3D40" w:rsidP="0030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501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07E8F" w:rsidRDefault="00307E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9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9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7E8F" w:rsidRDefault="00307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40" w:rsidRDefault="007E3D40" w:rsidP="00307E8F">
      <w:pPr>
        <w:spacing w:after="0" w:line="240" w:lineRule="auto"/>
      </w:pPr>
      <w:r>
        <w:separator/>
      </w:r>
    </w:p>
  </w:footnote>
  <w:footnote w:type="continuationSeparator" w:id="0">
    <w:p w:rsidR="007E3D40" w:rsidRDefault="007E3D40" w:rsidP="0030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2954"/>
    <w:multiLevelType w:val="hybridMultilevel"/>
    <w:tmpl w:val="2152B4FE"/>
    <w:lvl w:ilvl="0" w:tplc="ACD01CB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A18"/>
    <w:multiLevelType w:val="hybridMultilevel"/>
    <w:tmpl w:val="8FE4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92A61"/>
    <w:multiLevelType w:val="multilevel"/>
    <w:tmpl w:val="047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B2"/>
    <w:rsid w:val="00000592"/>
    <w:rsid w:val="00000946"/>
    <w:rsid w:val="0000503F"/>
    <w:rsid w:val="0000757E"/>
    <w:rsid w:val="000278B0"/>
    <w:rsid w:val="00030A7A"/>
    <w:rsid w:val="000364D6"/>
    <w:rsid w:val="00041FDB"/>
    <w:rsid w:val="000448DC"/>
    <w:rsid w:val="00050481"/>
    <w:rsid w:val="000576FC"/>
    <w:rsid w:val="00066F06"/>
    <w:rsid w:val="000768F2"/>
    <w:rsid w:val="0008067D"/>
    <w:rsid w:val="00081F06"/>
    <w:rsid w:val="00090A3E"/>
    <w:rsid w:val="000932DF"/>
    <w:rsid w:val="000963A8"/>
    <w:rsid w:val="000A1C1A"/>
    <w:rsid w:val="000A3E62"/>
    <w:rsid w:val="000B418D"/>
    <w:rsid w:val="000D62C3"/>
    <w:rsid w:val="000F6DAD"/>
    <w:rsid w:val="001031CB"/>
    <w:rsid w:val="00110484"/>
    <w:rsid w:val="00117D78"/>
    <w:rsid w:val="00126410"/>
    <w:rsid w:val="0012654D"/>
    <w:rsid w:val="001320EF"/>
    <w:rsid w:val="0013685D"/>
    <w:rsid w:val="00137E51"/>
    <w:rsid w:val="00142E9D"/>
    <w:rsid w:val="00163E58"/>
    <w:rsid w:val="001656F7"/>
    <w:rsid w:val="00194552"/>
    <w:rsid w:val="0019755B"/>
    <w:rsid w:val="001C626D"/>
    <w:rsid w:val="001D23C6"/>
    <w:rsid w:val="001D40C8"/>
    <w:rsid w:val="001D46AD"/>
    <w:rsid w:val="001D5209"/>
    <w:rsid w:val="001D5EBD"/>
    <w:rsid w:val="001E2F7C"/>
    <w:rsid w:val="001F031E"/>
    <w:rsid w:val="001F077E"/>
    <w:rsid w:val="001F11D1"/>
    <w:rsid w:val="001F18E7"/>
    <w:rsid w:val="002142F0"/>
    <w:rsid w:val="00214EB8"/>
    <w:rsid w:val="00224152"/>
    <w:rsid w:val="002367DC"/>
    <w:rsid w:val="00241202"/>
    <w:rsid w:val="00244F1B"/>
    <w:rsid w:val="002459B9"/>
    <w:rsid w:val="0024607E"/>
    <w:rsid w:val="0025604D"/>
    <w:rsid w:val="00266815"/>
    <w:rsid w:val="002705B8"/>
    <w:rsid w:val="002915A4"/>
    <w:rsid w:val="00291752"/>
    <w:rsid w:val="00296155"/>
    <w:rsid w:val="002A1AF3"/>
    <w:rsid w:val="002A1F29"/>
    <w:rsid w:val="002A5334"/>
    <w:rsid w:val="002B055B"/>
    <w:rsid w:val="002C05C5"/>
    <w:rsid w:val="002C2053"/>
    <w:rsid w:val="002D0841"/>
    <w:rsid w:val="002D0F73"/>
    <w:rsid w:val="002E083F"/>
    <w:rsid w:val="002E6789"/>
    <w:rsid w:val="002F0CD6"/>
    <w:rsid w:val="002F241E"/>
    <w:rsid w:val="002F26BD"/>
    <w:rsid w:val="0030211B"/>
    <w:rsid w:val="00307E8F"/>
    <w:rsid w:val="00313630"/>
    <w:rsid w:val="00316F29"/>
    <w:rsid w:val="003173D8"/>
    <w:rsid w:val="00317ED4"/>
    <w:rsid w:val="00320453"/>
    <w:rsid w:val="00337442"/>
    <w:rsid w:val="003638B8"/>
    <w:rsid w:val="00372028"/>
    <w:rsid w:val="00374721"/>
    <w:rsid w:val="00374B40"/>
    <w:rsid w:val="00376623"/>
    <w:rsid w:val="00376C94"/>
    <w:rsid w:val="00381866"/>
    <w:rsid w:val="00385F75"/>
    <w:rsid w:val="00386E70"/>
    <w:rsid w:val="00393189"/>
    <w:rsid w:val="003A061B"/>
    <w:rsid w:val="003A4304"/>
    <w:rsid w:val="003A65BB"/>
    <w:rsid w:val="003A7124"/>
    <w:rsid w:val="003B5B53"/>
    <w:rsid w:val="003B637C"/>
    <w:rsid w:val="003D20C9"/>
    <w:rsid w:val="003F1EC4"/>
    <w:rsid w:val="003F2C16"/>
    <w:rsid w:val="003F3852"/>
    <w:rsid w:val="003F575D"/>
    <w:rsid w:val="00401F39"/>
    <w:rsid w:val="0040355F"/>
    <w:rsid w:val="004057C5"/>
    <w:rsid w:val="00407485"/>
    <w:rsid w:val="0041648C"/>
    <w:rsid w:val="00417A11"/>
    <w:rsid w:val="00424060"/>
    <w:rsid w:val="0042556D"/>
    <w:rsid w:val="00431BEE"/>
    <w:rsid w:val="004548E3"/>
    <w:rsid w:val="00457807"/>
    <w:rsid w:val="00460C1E"/>
    <w:rsid w:val="004667F3"/>
    <w:rsid w:val="00472ADF"/>
    <w:rsid w:val="00476E53"/>
    <w:rsid w:val="00483610"/>
    <w:rsid w:val="0048475F"/>
    <w:rsid w:val="00491091"/>
    <w:rsid w:val="00492FD3"/>
    <w:rsid w:val="004955F5"/>
    <w:rsid w:val="0049560B"/>
    <w:rsid w:val="004967A5"/>
    <w:rsid w:val="004972A4"/>
    <w:rsid w:val="004A0B49"/>
    <w:rsid w:val="004A2874"/>
    <w:rsid w:val="004A28F3"/>
    <w:rsid w:val="004A6D19"/>
    <w:rsid w:val="004B37A2"/>
    <w:rsid w:val="004B6117"/>
    <w:rsid w:val="004E0516"/>
    <w:rsid w:val="004E17E0"/>
    <w:rsid w:val="004E2651"/>
    <w:rsid w:val="004E2793"/>
    <w:rsid w:val="004E28F8"/>
    <w:rsid w:val="004E4324"/>
    <w:rsid w:val="004E4B00"/>
    <w:rsid w:val="004E74CD"/>
    <w:rsid w:val="004E7715"/>
    <w:rsid w:val="004F113C"/>
    <w:rsid w:val="004F1FEB"/>
    <w:rsid w:val="00500B0F"/>
    <w:rsid w:val="00506623"/>
    <w:rsid w:val="005071BB"/>
    <w:rsid w:val="005164C2"/>
    <w:rsid w:val="00516B77"/>
    <w:rsid w:val="00532D3A"/>
    <w:rsid w:val="00534E2F"/>
    <w:rsid w:val="00536E21"/>
    <w:rsid w:val="00544AA1"/>
    <w:rsid w:val="0056012F"/>
    <w:rsid w:val="00562D32"/>
    <w:rsid w:val="00577CCC"/>
    <w:rsid w:val="005B08E2"/>
    <w:rsid w:val="005B2D8E"/>
    <w:rsid w:val="005B5836"/>
    <w:rsid w:val="005C0074"/>
    <w:rsid w:val="005D3075"/>
    <w:rsid w:val="005E1144"/>
    <w:rsid w:val="005E4E2A"/>
    <w:rsid w:val="005E56D0"/>
    <w:rsid w:val="005E60B2"/>
    <w:rsid w:val="005E621F"/>
    <w:rsid w:val="00611B2E"/>
    <w:rsid w:val="006150A5"/>
    <w:rsid w:val="006150A7"/>
    <w:rsid w:val="006164FA"/>
    <w:rsid w:val="00620FA1"/>
    <w:rsid w:val="00633328"/>
    <w:rsid w:val="00635D29"/>
    <w:rsid w:val="00636729"/>
    <w:rsid w:val="0064182F"/>
    <w:rsid w:val="00642CAF"/>
    <w:rsid w:val="00645AE8"/>
    <w:rsid w:val="00650921"/>
    <w:rsid w:val="00653A1B"/>
    <w:rsid w:val="00656763"/>
    <w:rsid w:val="006657CC"/>
    <w:rsid w:val="00671DCC"/>
    <w:rsid w:val="00675D64"/>
    <w:rsid w:val="00690BC3"/>
    <w:rsid w:val="00693319"/>
    <w:rsid w:val="00697C52"/>
    <w:rsid w:val="006A37A2"/>
    <w:rsid w:val="006A5025"/>
    <w:rsid w:val="006C3971"/>
    <w:rsid w:val="006C3D23"/>
    <w:rsid w:val="006C3E42"/>
    <w:rsid w:val="006C4222"/>
    <w:rsid w:val="006C4FA7"/>
    <w:rsid w:val="006C7CC0"/>
    <w:rsid w:val="006D5E62"/>
    <w:rsid w:val="006D6368"/>
    <w:rsid w:val="006E0762"/>
    <w:rsid w:val="006E23CE"/>
    <w:rsid w:val="007022AE"/>
    <w:rsid w:val="0071301A"/>
    <w:rsid w:val="00714607"/>
    <w:rsid w:val="00714729"/>
    <w:rsid w:val="00717728"/>
    <w:rsid w:val="00736BCB"/>
    <w:rsid w:val="0073758F"/>
    <w:rsid w:val="007466C9"/>
    <w:rsid w:val="00750E4A"/>
    <w:rsid w:val="007524C1"/>
    <w:rsid w:val="00753DE5"/>
    <w:rsid w:val="007673A7"/>
    <w:rsid w:val="00772278"/>
    <w:rsid w:val="007734FB"/>
    <w:rsid w:val="00791523"/>
    <w:rsid w:val="007915CF"/>
    <w:rsid w:val="00793FA3"/>
    <w:rsid w:val="00794204"/>
    <w:rsid w:val="0079721F"/>
    <w:rsid w:val="00797954"/>
    <w:rsid w:val="007B30E8"/>
    <w:rsid w:val="007B4ECC"/>
    <w:rsid w:val="007C482D"/>
    <w:rsid w:val="007C52C9"/>
    <w:rsid w:val="007C60C8"/>
    <w:rsid w:val="007D544F"/>
    <w:rsid w:val="007D6655"/>
    <w:rsid w:val="007D6B69"/>
    <w:rsid w:val="007E3D40"/>
    <w:rsid w:val="007F0B9C"/>
    <w:rsid w:val="007F73DF"/>
    <w:rsid w:val="008004BB"/>
    <w:rsid w:val="008033D9"/>
    <w:rsid w:val="00806AC3"/>
    <w:rsid w:val="00815D75"/>
    <w:rsid w:val="00824133"/>
    <w:rsid w:val="00824B22"/>
    <w:rsid w:val="00827328"/>
    <w:rsid w:val="0083094B"/>
    <w:rsid w:val="008365B6"/>
    <w:rsid w:val="0083742D"/>
    <w:rsid w:val="0085258B"/>
    <w:rsid w:val="00861808"/>
    <w:rsid w:val="0086214C"/>
    <w:rsid w:val="00864AF4"/>
    <w:rsid w:val="0086567E"/>
    <w:rsid w:val="00880F10"/>
    <w:rsid w:val="008873F2"/>
    <w:rsid w:val="008A1CB2"/>
    <w:rsid w:val="008A2C3A"/>
    <w:rsid w:val="008A5992"/>
    <w:rsid w:val="008B1162"/>
    <w:rsid w:val="008B69CF"/>
    <w:rsid w:val="008C1B34"/>
    <w:rsid w:val="008C4575"/>
    <w:rsid w:val="008C48F2"/>
    <w:rsid w:val="008D4EAA"/>
    <w:rsid w:val="008D5240"/>
    <w:rsid w:val="0090317A"/>
    <w:rsid w:val="009047F9"/>
    <w:rsid w:val="00912139"/>
    <w:rsid w:val="009224EF"/>
    <w:rsid w:val="0092267D"/>
    <w:rsid w:val="0093078B"/>
    <w:rsid w:val="009307EF"/>
    <w:rsid w:val="009436A4"/>
    <w:rsid w:val="009460D0"/>
    <w:rsid w:val="00947EB0"/>
    <w:rsid w:val="00950959"/>
    <w:rsid w:val="00951324"/>
    <w:rsid w:val="00952234"/>
    <w:rsid w:val="00956BC4"/>
    <w:rsid w:val="00975D25"/>
    <w:rsid w:val="009831A4"/>
    <w:rsid w:val="0099563C"/>
    <w:rsid w:val="00996B35"/>
    <w:rsid w:val="009A6B14"/>
    <w:rsid w:val="009B2842"/>
    <w:rsid w:val="009B3116"/>
    <w:rsid w:val="009C5097"/>
    <w:rsid w:val="009C608F"/>
    <w:rsid w:val="009F26D8"/>
    <w:rsid w:val="009F5D4F"/>
    <w:rsid w:val="009F5FE1"/>
    <w:rsid w:val="009F6A9A"/>
    <w:rsid w:val="009F6C7B"/>
    <w:rsid w:val="00A06917"/>
    <w:rsid w:val="00A10793"/>
    <w:rsid w:val="00A16DF0"/>
    <w:rsid w:val="00A22FE5"/>
    <w:rsid w:val="00A31E81"/>
    <w:rsid w:val="00A3517D"/>
    <w:rsid w:val="00A36710"/>
    <w:rsid w:val="00A40F99"/>
    <w:rsid w:val="00A4485A"/>
    <w:rsid w:val="00A522BF"/>
    <w:rsid w:val="00A541AF"/>
    <w:rsid w:val="00A606AE"/>
    <w:rsid w:val="00A66D31"/>
    <w:rsid w:val="00A6770E"/>
    <w:rsid w:val="00A73324"/>
    <w:rsid w:val="00A73441"/>
    <w:rsid w:val="00A746D7"/>
    <w:rsid w:val="00A875EB"/>
    <w:rsid w:val="00A902F1"/>
    <w:rsid w:val="00A92FBF"/>
    <w:rsid w:val="00A93DE1"/>
    <w:rsid w:val="00A95992"/>
    <w:rsid w:val="00AA5DE7"/>
    <w:rsid w:val="00AB1CA0"/>
    <w:rsid w:val="00AD079C"/>
    <w:rsid w:val="00AD0C61"/>
    <w:rsid w:val="00AD2074"/>
    <w:rsid w:val="00AF460B"/>
    <w:rsid w:val="00B028BD"/>
    <w:rsid w:val="00B02A92"/>
    <w:rsid w:val="00B2156D"/>
    <w:rsid w:val="00B23C18"/>
    <w:rsid w:val="00B27302"/>
    <w:rsid w:val="00B276B4"/>
    <w:rsid w:val="00B4289E"/>
    <w:rsid w:val="00B42F94"/>
    <w:rsid w:val="00B45913"/>
    <w:rsid w:val="00B61372"/>
    <w:rsid w:val="00B6393F"/>
    <w:rsid w:val="00B7450B"/>
    <w:rsid w:val="00B74BC2"/>
    <w:rsid w:val="00B80101"/>
    <w:rsid w:val="00B8254D"/>
    <w:rsid w:val="00B82977"/>
    <w:rsid w:val="00B873AA"/>
    <w:rsid w:val="00B901F0"/>
    <w:rsid w:val="00BA0357"/>
    <w:rsid w:val="00BA1D69"/>
    <w:rsid w:val="00BA6AB3"/>
    <w:rsid w:val="00BB017D"/>
    <w:rsid w:val="00BB3701"/>
    <w:rsid w:val="00BD2C1F"/>
    <w:rsid w:val="00BE00FD"/>
    <w:rsid w:val="00BE766B"/>
    <w:rsid w:val="00C026B9"/>
    <w:rsid w:val="00C20738"/>
    <w:rsid w:val="00C23D31"/>
    <w:rsid w:val="00C342B8"/>
    <w:rsid w:val="00C36790"/>
    <w:rsid w:val="00C369B9"/>
    <w:rsid w:val="00C40A65"/>
    <w:rsid w:val="00C42181"/>
    <w:rsid w:val="00C53C99"/>
    <w:rsid w:val="00C54417"/>
    <w:rsid w:val="00C578E5"/>
    <w:rsid w:val="00C61AF4"/>
    <w:rsid w:val="00C6435C"/>
    <w:rsid w:val="00C7302D"/>
    <w:rsid w:val="00C744C0"/>
    <w:rsid w:val="00C845EA"/>
    <w:rsid w:val="00C90542"/>
    <w:rsid w:val="00CA1660"/>
    <w:rsid w:val="00CA5373"/>
    <w:rsid w:val="00CB6C4B"/>
    <w:rsid w:val="00CB7FEB"/>
    <w:rsid w:val="00CC5C90"/>
    <w:rsid w:val="00CD1D90"/>
    <w:rsid w:val="00CD3FBF"/>
    <w:rsid w:val="00CE0B76"/>
    <w:rsid w:val="00CE1EB9"/>
    <w:rsid w:val="00CE4DA1"/>
    <w:rsid w:val="00CE6BC7"/>
    <w:rsid w:val="00D001E9"/>
    <w:rsid w:val="00D237CA"/>
    <w:rsid w:val="00D24665"/>
    <w:rsid w:val="00D24903"/>
    <w:rsid w:val="00D33301"/>
    <w:rsid w:val="00D356A3"/>
    <w:rsid w:val="00D359CD"/>
    <w:rsid w:val="00D36A21"/>
    <w:rsid w:val="00D36E21"/>
    <w:rsid w:val="00D43AFC"/>
    <w:rsid w:val="00D43D16"/>
    <w:rsid w:val="00D476B6"/>
    <w:rsid w:val="00D51DCC"/>
    <w:rsid w:val="00D52ED5"/>
    <w:rsid w:val="00D55811"/>
    <w:rsid w:val="00D73256"/>
    <w:rsid w:val="00D7356D"/>
    <w:rsid w:val="00D75411"/>
    <w:rsid w:val="00D75414"/>
    <w:rsid w:val="00D83A32"/>
    <w:rsid w:val="00D97112"/>
    <w:rsid w:val="00D979B4"/>
    <w:rsid w:val="00D97A0C"/>
    <w:rsid w:val="00DA108E"/>
    <w:rsid w:val="00DA68EF"/>
    <w:rsid w:val="00DB11F9"/>
    <w:rsid w:val="00DC37E0"/>
    <w:rsid w:val="00DD29CB"/>
    <w:rsid w:val="00DD4C18"/>
    <w:rsid w:val="00DE06A2"/>
    <w:rsid w:val="00DE2225"/>
    <w:rsid w:val="00DE223B"/>
    <w:rsid w:val="00DE2546"/>
    <w:rsid w:val="00DE74C6"/>
    <w:rsid w:val="00DE7A31"/>
    <w:rsid w:val="00DE7A90"/>
    <w:rsid w:val="00DF2581"/>
    <w:rsid w:val="00DF290C"/>
    <w:rsid w:val="00DF413D"/>
    <w:rsid w:val="00DF64CB"/>
    <w:rsid w:val="00DF6CF4"/>
    <w:rsid w:val="00E01F66"/>
    <w:rsid w:val="00E05AC1"/>
    <w:rsid w:val="00E12316"/>
    <w:rsid w:val="00E13485"/>
    <w:rsid w:val="00E13A5F"/>
    <w:rsid w:val="00E27EEA"/>
    <w:rsid w:val="00E41387"/>
    <w:rsid w:val="00E469F1"/>
    <w:rsid w:val="00E551D6"/>
    <w:rsid w:val="00E55574"/>
    <w:rsid w:val="00E56193"/>
    <w:rsid w:val="00E72CC1"/>
    <w:rsid w:val="00E831A0"/>
    <w:rsid w:val="00EA1DEC"/>
    <w:rsid w:val="00EB1A24"/>
    <w:rsid w:val="00EB3F52"/>
    <w:rsid w:val="00ED200E"/>
    <w:rsid w:val="00ED4093"/>
    <w:rsid w:val="00ED4C54"/>
    <w:rsid w:val="00EE458E"/>
    <w:rsid w:val="00EE554B"/>
    <w:rsid w:val="00EE7526"/>
    <w:rsid w:val="00F01139"/>
    <w:rsid w:val="00F04FC9"/>
    <w:rsid w:val="00F138D5"/>
    <w:rsid w:val="00F176A3"/>
    <w:rsid w:val="00F176D5"/>
    <w:rsid w:val="00F314C0"/>
    <w:rsid w:val="00F41C55"/>
    <w:rsid w:val="00F5173A"/>
    <w:rsid w:val="00F52E93"/>
    <w:rsid w:val="00F623F8"/>
    <w:rsid w:val="00F663D0"/>
    <w:rsid w:val="00F6741F"/>
    <w:rsid w:val="00F75F7E"/>
    <w:rsid w:val="00F7753F"/>
    <w:rsid w:val="00F84E6F"/>
    <w:rsid w:val="00F85BCB"/>
    <w:rsid w:val="00F93BAA"/>
    <w:rsid w:val="00F9428D"/>
    <w:rsid w:val="00F958D2"/>
    <w:rsid w:val="00FA1593"/>
    <w:rsid w:val="00FA21AF"/>
    <w:rsid w:val="00FA6B5E"/>
    <w:rsid w:val="00FB494D"/>
    <w:rsid w:val="00FC2130"/>
    <w:rsid w:val="00FC26EF"/>
    <w:rsid w:val="00FC6F55"/>
    <w:rsid w:val="00FD2CA5"/>
    <w:rsid w:val="00FE531D"/>
    <w:rsid w:val="00FE534D"/>
    <w:rsid w:val="00FF0AB4"/>
    <w:rsid w:val="00FF4A4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5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0F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6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4FA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E26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0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8F"/>
  </w:style>
  <w:style w:type="paragraph" w:styleId="Footer">
    <w:name w:val="footer"/>
    <w:basedOn w:val="Normal"/>
    <w:link w:val="FooterChar"/>
    <w:uiPriority w:val="99"/>
    <w:unhideWhenUsed/>
    <w:rsid w:val="0030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5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0F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6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4FA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E26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0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8F"/>
  </w:style>
  <w:style w:type="paragraph" w:styleId="Footer">
    <w:name w:val="footer"/>
    <w:basedOn w:val="Normal"/>
    <w:link w:val="FooterChar"/>
    <w:uiPriority w:val="99"/>
    <w:unhideWhenUsed/>
    <w:rsid w:val="0030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17905486" TargetMode="External"/><Relationship Id="rId18" Type="http://schemas.openxmlformats.org/officeDocument/2006/relationships/hyperlink" Target="http://www.who.int/wer/2010/wer8532.pdf?ua=1" TargetMode="External"/><Relationship Id="rId26" Type="http://schemas.openxmlformats.org/officeDocument/2006/relationships/hyperlink" Target="https://wwwnc.cdc.gov/travel/yellowbook/2018/infectious-diseases-related-to-travel/malar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article/pii/S01406736961008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ho.int/wer/2012/wer8728_29.pdf?ua=1" TargetMode="External"/><Relationship Id="rId17" Type="http://schemas.openxmlformats.org/officeDocument/2006/relationships/hyperlink" Target="https://www.cdc.gov/mmwr/preview/mmwrhtml/mm6324a2.htm" TargetMode="External"/><Relationship Id="rId25" Type="http://schemas.openxmlformats.org/officeDocument/2006/relationships/hyperlink" Target="https://www.cdc.gov/mmwr/preview/mmwrhtml/rr5907a1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dc.gov/mmwr/preview/mmwrhtml/rr5901a1.htm" TargetMode="External"/><Relationship Id="rId20" Type="http://schemas.openxmlformats.org/officeDocument/2006/relationships/hyperlink" Target="https://academic.oup.com/jtm/article/9/3/127/1848535" TargetMode="External"/><Relationship Id="rId29" Type="http://schemas.openxmlformats.org/officeDocument/2006/relationships/hyperlink" Target="https://www.medicines.org.uk/emc/search?q=%22bismuth+subsalicylate%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da.gov/downloads/BiologicsBloodVaccines/Vaccines/ApprovedProducts/UCM506235.pdf" TargetMode="External"/><Relationship Id="rId24" Type="http://schemas.openxmlformats.org/officeDocument/2006/relationships/hyperlink" Target="https://www.cdc.gov/mmwr/preview/mmwrhtml/mm6411a4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ho.int/wer/2015/wer9009.pdf?ua=1" TargetMode="External"/><Relationship Id="rId23" Type="http://schemas.openxmlformats.org/officeDocument/2006/relationships/hyperlink" Target="https://www.gov.uk/government/publications/typhoid-the-green-book-chapter-33" TargetMode="External"/><Relationship Id="rId28" Type="http://schemas.openxmlformats.org/officeDocument/2006/relationships/hyperlink" Target="https://academic.oup.com/jtm/article/24/suppl_1/S63/3782742" TargetMode="External"/><Relationship Id="rId10" Type="http://schemas.openxmlformats.org/officeDocument/2006/relationships/hyperlink" Target="https://vaccine-schedule.ecdc.europa.eu/" TargetMode="External"/><Relationship Id="rId19" Type="http://schemas.openxmlformats.org/officeDocument/2006/relationships/hyperlink" Target="http://www.who.int/immunization/sage/meetings/2017/october/1_Background_paper_WG_RABIES_final.pdf?ua=1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pps.who.int/immunization_monitoring/globalsummary/schedules" TargetMode="External"/><Relationship Id="rId14" Type="http://schemas.openxmlformats.org/officeDocument/2006/relationships/hyperlink" Target="https://www.cdc.gov/hepatitis/IG-HBIG_Sources.htm" TargetMode="External"/><Relationship Id="rId22" Type="http://schemas.openxmlformats.org/officeDocument/2006/relationships/hyperlink" Target="http://apps.who.int/iris/bitstream/handle/10665/272272/WER9313.pdf?ua=1" TargetMode="External"/><Relationship Id="rId27" Type="http://schemas.openxmlformats.org/officeDocument/2006/relationships/hyperlink" Target="https://travelhealthpro.org.uk/admin/web/uploads/Childrens-antimalarial-dosage-tables.pdf" TargetMode="External"/><Relationship Id="rId30" Type="http://schemas.openxmlformats.org/officeDocument/2006/relationships/hyperlink" Target="https://wwwnc.cdc.gov/travel/yellowbook/2018/international-travel-with-infants-children/traveling-safely-with-infants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231B-3F30-46EA-BD75-B38FE878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Molitor-Kirsch, Shirley</dc:creator>
  <cp:lastModifiedBy>Bramham,Lynda</cp:lastModifiedBy>
  <cp:revision>30</cp:revision>
  <dcterms:created xsi:type="dcterms:W3CDTF">2018-04-04T16:29:00Z</dcterms:created>
  <dcterms:modified xsi:type="dcterms:W3CDTF">2018-04-11T16:28:00Z</dcterms:modified>
</cp:coreProperties>
</file>